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VB.2008.00467 vom 7. Juli 2009</w:t>
      </w:r>
    </w:p>
    <w:p>
      <w:r>
        <w:t>ZH Verwaltungsgericht, 2009-07-07, DE</w:t>
      </w:r>
    </w:p>
    <w:p>
      <w:r>
        <w:rPr>
          <w:b/>
        </w:rPr>
        <w:t xml:space="preserve">Quelle: </w:t>
      </w:r>
      <w:r>
        <w:t>https://mcp.opencaselaw.ch/entscheid/zh_verwaltungsgericht__VB.2008.00467</w:t>
      </w:r>
    </w:p>
    <w:p>
      <w:r>
        <w:t>FR: ZH_VERWALTUNGSGERICHT VB.2008.00467 du 7 juillet 2009</w:t>
      </w:r>
    </w:p>
    <w:p>
      <w:r>
        <w:t>IT: ZH_VERWALTUNGSGERICHT VB.2008.00467 del 7 luglio 2009</w:t>
      </w:r>
    </w:p>
    <w:p>
      <w:pPr>
        <w:pStyle w:val="Heading2"/>
      </w:pPr>
      <w:r>
        <w:t>Regeste</w:t>
      </w:r>
    </w:p>
    <w:p>
      <w:r>
        <w:t>bedingte Entlassung aus einer stationären Massnahme | Bedingte Entlassung aus einer stationären Massnahme/Befangenheit der begutachtenden Person/Rückweisung Zuständigkeit (E. 1). Anwendbares Recht (E. 2.1). Aus einer stationären therapeutischen Massnahme ist der Täter bedingt zu entlassen, sobald sein Zustand es rechtfertigt, dass ihm Gelegenheit gegeben wird, sich in Freiheit zu bewähren. Hat der Täter - wie hier - ein Anlassdelikt für eine Verwahrung begangen, hat sich der Entscheid über die bedingte Entlassung auf ein Gutachten eines unabhängigen Sachverständigen zu stützen (E. 2.2). Das Erfordernis der Unabhängigkeit des Sachverständigen im Massnahmevollzugsrecht bedeutet in erster Linie, dass gutachterliche und therapeutische Funktion unvereinbar sind. Neben dieser spezifischen Regelung ergibt sich ein Mindestanspruch auf Unabhängigkeit und Unbefangenheit auch von Sachverständigen aus Art. 29 Abs. 1 BV. Persönliche Befangenheit ist bei Vorliegen von Umständen anzunehmen, die geeignet sind, Misstrauen in die Unparteilichkeit eines Behördenmitglieds zu erwecken. Hierbei kommt es auf eine objektive Betrachtungsweise an. Die vom Bundesgericht entwickelten Kriterien für die Vorbefassung von Richtern mit einer konkreten Streitsache lassen sich auch auf Angehörige von Verwaltungsbehörden übertragen (E. 3.2). Die Beschwerdegegnerin stützte sich massgeblich auf ein Gutachten einer sachverständigen Person des PPD, welche sich anderweitig - vor dem Gutachtensauftrag - schon mit dem Fall des Beschwerdeführers befasst hatte und sich mit Bezug auf diesen eine dezidierte Meinung über Massnahmebedürftigkeit und -notwendigkeit gebildet hatte. Diese Meinung teilte sie dem auftragserteilenden Sonderdienst mit, so dass dieser damit rechnen konnte, die gutachterliche Empfehlung werde auf Rückversetzung in den stationären Massnahmevollzug lauten, was auch eintraf. Dieses Vorgehen erweckt den Anschein der Befangenheit der sachverständigen Person; sie hätte demnach in den Ausstand treten müssen (E. 3.3.1). Die Sache ist daher zurEinholung eines neuen Gutachtens und zu neuer Entscheidung an die Vorinstanz zurückzuweisen, weshalb die Frage nach der Aktualität des Gutachtens offen bleiben kann (E. 3.4). Gewährung UP/URP (E. 4). Kosten- und Entschädigungsfolgen (E. 5). Rechtsmittel (E. 6). Teilweise Gutheissung.</w:t>
      </w:r>
    </w:p>
    <w:p>
      <w:pPr>
        <w:pStyle w:val="Heading2"/>
      </w:pPr>
      <w:r>
        <w:t>Erwägungen</w:t>
      </w:r>
    </w:p>
    <w:p>
      <w:r>
        <w:rPr>
          <w:b/>
        </w:rPr>
        <w:t>E. 4</w:t>
      </w:r>
    </w:p>
    <w:p>
      <w:r>
        <w:t>Privaten kann gestützt auf § 16 Abs. 1 VRG die Bezahlung von Verfahrenskosten erlassen werden, wenn ihnen die nötigen Mittel fehlen und ihr Begehren nicht offensichtlich aussichtslos erscheint. Darüber hinaus hat die Partei unter den gleichen Voraussetzungen Anspruch auf die Bestellung eines unentgeltlichen Rechtsbeistands, sofern sie nicht in der Lage ist, ihre Rechte im Verfahren selbst zu wahren (§ 16 Abs. 2 VRG). Vorliegend ist von der Mittellosigkeit des Beschwerdeführers auszugehen. Die weiteren Voraussetzungen sind ebenfalls erfüllt und es ist ihm die unentgeltliche Prozessführung und Rechtsverbeiständung zu gewähren.</w:t>
      </w:r>
    </w:p>
    <w:p>
      <w:r>
        <w:rPr>
          <w:b/>
        </w:rPr>
        <w:t>E. 4.3</w:t>
      </w:r>
    </w:p>
    <w:p>
      <w:r>
        <w:t>mit Hinweisen). Nachdem wegen fehlender Unabhängigkeit respektive wegen Vorbefassung des Gutachters ohnehin ein neues Gutachten einzuholen ist, kann die Frage nach der Aktualität des Gutachtens des PPD vorliegend offen gelassen werden. Immerhin zeigt der bisherige Behandlungsverlauf seit der Rückversetzung, dass beim Beschwerdeführer Fortschritte zu verzeichnen waren, welche es erlaubten, am 9. August 2007 die Versetzung von der Sicherheits- auf die geschlossene Abteilung und am 25. April 2008 durch Fachpersonal begleitete ausserklinische Aktivitäten und die externe Beschäftigung zu genehmigen. Schliesslich beantragte die Klinikleitung mit ihrem Jahresbericht vom 26. Januar 2009 die Genehmigung des Amtes für Justizvollzug für eine Versetzung in eine offen geführte Massnahmestation und die Bewilligung von durch Familienangehörige und/oder den Beistand begleitete ausserklinische Aktivitäten. 3.5 Zusammenfassend ergibt sich, dass ein Gutachten einer unabhängigen sachverständigen Person einzuholen ist. Da es beim Gutachten um ein entscheidendes Element zur Sachverhaltsermittlung handelt und die anschliessend zu beurteilenden Frage der bedingten Entlassung auch Ermessenselemente beinhaltet, fällt das Verwaltungsgericht grundsätzlich keinen reformatorischen Entscheid, sondern weist die Sache zurück (§ 64 Abs. 1 VRG; Kölz/Bosshart/Röhl, § 64 N. 3, 5). Somit erweist sich die Abweisung des Rekurses gegen die verweigerte bedingte Entlassung als ungerechtfertigt. Der angefochtene Entscheid ist insoweit aufzuheben und die Sache zur Einholung eines neuen Gutachtens und zu neuer Entscheidung an die Vorinstanz zurückzuweisen. Die Beschwerde ist in diesem Umfange gutzuheissen, hingegen hinsichtlich des Antrages auf Anordnung der bedingten Entlassung und der Entlassung aus der Klini C abzuweisen.</w:t>
      </w:r>
    </w:p>
    <w:p>
      <w:r>
        <w:rPr>
          <w:b/>
        </w:rPr>
        <w:t>E. 5.1</w:t>
      </w:r>
    </w:p>
    <w:p>
      <w:r>
        <w:t>Mehrere am Verfahren Beteiligte tragen die Kosten in der Regel entsprechend ihrem Unterliegen (§ 70 in Verbindung mit § 13 Abs. 2 Satz 1 VRG). Bei diesem Ausgang des Verfahrens erscheinen die Parteien je zur Hälfte als obsiegend bzw. unterliegend. Demnach muss die Beschwerdegegnerin die Hälfte der Kosten tragen.</w:t>
      </w:r>
    </w:p>
    <w:p>
      <w:r>
        <w:rPr>
          <w:b/>
        </w:rPr>
        <w:t>E. 5.2</w:t>
      </w:r>
    </w:p>
    <w:p>
      <w:r>
        <w:t>Da beide Parteien nur teilweise obsiegen, sind für das vorliegende Beschwerdeverfahren keine Parteientschädigungen zuzusprechen (Kölz/Bosshart/Röhl, § 17 N. 32).</w:t>
      </w:r>
    </w:p>
    <w:p>
      <w:r>
        <w:rPr>
          <w:b/>
        </w:rPr>
        <w:t>E. 6</w:t>
      </w:r>
    </w:p>
    <w:p>
      <w:r>
        <w:t>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vgl. zudem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