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VB.2008.00368 vom 16. August 2007</w:t>
      </w:r>
    </w:p>
    <w:p>
      <w:r>
        <w:t>ZH Verwaltungsgericht, 2007-08-16, DE</w:t>
      </w:r>
    </w:p>
    <w:p>
      <w:r>
        <w:rPr>
          <w:b/>
        </w:rPr>
        <w:t xml:space="preserve">Quelle: </w:t>
      </w:r>
      <w:r>
        <w:t>https://mcp.opencaselaw.ch/entscheid/zh_verwaltungsgericht__VB.2008.00368</w:t>
      </w:r>
    </w:p>
    <w:p>
      <w:r>
        <w:t>FR: ZH_VERWALTUNGSGERICHT VB.2008.00368 du 16 août 2007</w:t>
      </w:r>
    </w:p>
    <w:p>
      <w:r>
        <w:t>IT: ZH_VERWALTUNGSGERICHT VB.2008.00368 del 16 agosto 2007</w:t>
      </w:r>
    </w:p>
    <w:p>
      <w:pPr>
        <w:pStyle w:val="Heading2"/>
      </w:pPr>
      <w:r>
        <w:t>Regeste</w:t>
      </w:r>
    </w:p>
    <w:p>
      <w:r>
        <w:t>Klassenzuteilung | Zuteilung eines Kindes mit AD(H)S in eine Kleinklasse [Der Sohn der Beschwerdeführenden leidet am Aufmerksamkeits-Defizit-Syndrom (ADS). Die Eltern hatten die Zuteilung in eine Kleinklasse beantragt. Die Beschwerdegegnerin verfügte die Zuteilung des Kindes in eine Privatschule. Die Eltern beantragten jedoch die Zuteilung ihres Sohnes in eine andere, ausserkantonale Privatschule.] Das Verwaltungsgericht ist für die Angelegenheit zuständig. Da die Streitigkeit auch eine nicht vermögenswerte Komponente aufweist, kann die Höhe des Streitwerts offen bleiben. Kammerzuständigkeit (E. 1.1). Beide Eltern des Kindes sind zur Beschwerde befugt; die Vorinstanz führte zu Unrecht lediglich den Vater als Rekurrenten auf (E. 1.2). Die Regeln über sonderpädagogische Massnahmen gemäss revidiertem Volksschulgesetz gelten im vorliegenden Fall, da die betreffende Gemeinde zu den Gemeinden der "ersten Staffel" gehört. Die sonderpädagogischen Massnahmen dienen der Schulung von Schülerinnen und Schülern mit besonderen pädagogischen Bedürfnissen. Zu den Regelungen im Einzelnen (E. 2). Nach Einschätzung von Fachpersonen bedarf das Kind der Schulung in einer Kleinklasse (E. 3.1). Zu den beiden in Frage stehenden Schulen (E. 3.2). Bei der von der Beschwerdegegnerin gewählten Schule ist der Unterricht in Kleinklassen gewährleistet und die dortige Schulleiterin ist Schulische Heilpädagogin. Somit entspricht die Zuteilung am besten den Bedürfnissen des Kindes und steht in Einklang mit der Verordnung über die sonderpädagogischen Massnahmen. Die Wahl dieser Schule ist zudem auch aus weiteren Gründen nachvollziehbar (E. 3.3). Weitere Vorbringen der Beschwerdeführenden ändern daran nichts (E. 3.4). Kosten- und Entschädigungsfolgen (E. 4). Rechtsmittelbelehrung (E. 5). Abweisung</w:t>
      </w:r>
    </w:p>
    <w:p>
      <w:pPr>
        <w:pStyle w:val="Heading2"/>
      </w:pPr>
      <w:r>
        <w:t>Erwägungen</w:t>
      </w:r>
    </w:p>
    <w:p>
      <w:r>
        <w:rPr>
          <w:b/>
        </w:rPr>
        <w:t>E. 4</w:t>
      </w:r>
    </w:p>
    <w:p>
      <w:r>
        <w:t>Bei diesem Ausgang sind die Verfahrenskosten nach § 70 in Verbindung mit § 13 Abs. 2 Satz 1 und § 14 VRG den unterliegenden Beschwerdeführenden hälftig aufzuerlegen, unter solidarischer Haftung füreinander (Kölz/Bosshart/Röhl, § 14 N. 3), und bleibt ihnen eine Parteientschädigung versagt (§ 17 Abs. 2 VRG).</w:t>
      </w:r>
    </w:p>
    <w:p>
      <w:r>
        <w:rPr>
          <w:b/>
        </w:rPr>
        <w:t>E. 5</w:t>
      </w:r>
    </w:p>
    <w:p>
      <w:r>
        <w:t>Art. 83 lit. t des Bundesgerichtsgesetzes vom 17. Juni 2005 (BGG, SR 173.110) schliesst die Beschwerde in öffentlich-rechtlichen Angelegenheiten gegen Entscheide über das Ergebnis von Prüfungen und anderen Fähigkeitsbewertungen aus, namentlich auf dem Gebiet der Schule. In andern Fällen aus dem Bildungsbereich ist dieses Rechtsmittel hingegen zulässig. Soweit es sich hier nicht um einen anderen Fall handelt (vgl. BGr, 16. August 2007, 2C_187/2007, und 21. August 2007, 2C_313/2007 [beides unter www.bger.ch] zur eher ausdehnenden Interpretation von Art. 83 lit. t BGG), ist lediglich die subsidiäre Verfassungsbeschwerde nach Art. 113 ff. BGG zulässig. Wird von beiden Rechtsmitteln Gebrauch gemacht, hat dies nach Art. 119 Abs. 1 BGG in der gleichen Rechtsschrift zu geschehen.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