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VB.2008.00127 vom 16. April 2008</w:t>
      </w:r>
    </w:p>
    <w:p>
      <w:r>
        <w:t>ZH Verwaltungsgericht, 2008-04-16, DE</w:t>
      </w:r>
    </w:p>
    <w:p>
      <w:r>
        <w:rPr>
          <w:b/>
        </w:rPr>
        <w:t xml:space="preserve">Quelle: </w:t>
      </w:r>
      <w:r>
        <w:t>https://mcp.opencaselaw.ch/entscheid/zh_verwaltungsgericht__VB.2008.00127</w:t>
      </w:r>
    </w:p>
    <w:p>
      <w:r>
        <w:t>FR: ZH_VERWALTUNGSGERICHT VB.2008.00127 du 16 avril 2008</w:t>
      </w:r>
    </w:p>
    <w:p>
      <w:r>
        <w:t>IT: ZH_VERWALTUNGSGERICHT VB.2008.00127 del 16 aprile 2008</w:t>
      </w:r>
    </w:p>
    <w:p>
      <w:pPr>
        <w:pStyle w:val="Heading2"/>
      </w:pPr>
      <w:r>
        <w:t>Regeste</w:t>
      </w:r>
    </w:p>
    <w:p>
      <w:r>
        <w:t>Instandsetzung Hardbrücke - Stimmrechtsbeschwerde | Zuständigkeit des Verwaltungsgerichts in Stimmrechts-Angelegenheiten Bis Ende 2006 verbot § 43 Abs. 1 lit. a VRG die Beschwerde gegen Anordnungen auf dem Gebiet der Wahlen und Abstimmungen. Das hätte nicht gegolten, wenn es sich um Angelegenheiten gemäss Art. 6 Abs. 1 EMRK gedreht oder soweit die Verwaltungsgerichtsbeschwerde an das Bundesgericht offen gestanden hätte (§ 43 Abs. 2 VRG). Art. 6 Abs. 1 EMRK griff und greift hier nicht. Art. 100 Abs. 1 lit. p des Bundesrechtspflegegesetzes schloss die Verwaltungsgerichtsbeschwerde gegen Abstimmungs- und Wahlentscheide aus (E. 2.1). Nun hat das Bundesgerichtsgesetz auf Anfang 2007 das Bundesrechtspflegegesetz abgelöst; es gestattet gegen ab dann ergangene, kantonal letztinstanzliche Entscheide betreffend die politische Stimmberechtigung der Bürgerinnen und Bürger sowie betreffend Volkswahlen die Beschwerde in öffentlich-rechtlichen Angelegenheiten. Laut § 5 der ebenfalls auf 1. Januar 2007 in Kraft gesetzten regierungsrätlichen Verordnung über die Anpassung des kantonalen Rechts an das Bundesgerichtsgesetz ist unter Verwaltungsgerichtsbeschwerde in § 43 Abs. 2 VRG die ordentliche Beschwerde an das Bundesgericht zu verstehen. Für den Bereich der politischen Rechte gebietet Art. 130 Abs. 3 in Verbindung mit Art. 88 Abs. 2 BGG den Kantonen, innert zwei Jahren (also bis Ende 2008) und unter Vorbehalt hier nicht spielender Ausnahmen als bundesgerichtliche Vorinstanz ein Gericht einzusetzen. Art. 130 Abs. 4 BGG gestattet den Kantonen, einschlägige Ausführungsbestimmungen bis zur ordentlichen Gesetzgebung in die Form nicht referendumspflichtiger Erlasse zu kleinden, soweit es zur Einhaltung der Anpassungsfrist notwendig ist (E. 2.2). Zusammenfassung der Rechtsprechung der Kammer zur neurechtlichen Zuständigkeit des Verwaltungsgerichts auf dem Gebiet der Fremdenpolizei und des Vollzugs von Strafen und Massnahmen; Folgen dieser Praxis (E. 2.3 f.). Für das Verwaltungsgericht ist die Zuständigkeitsfrage durch ein ihm dievorliegende Stimmrechts-Angelegenheit überweisendes Bundesgerichtsurteil nicht abschliessend beantwortet (E. 2.5.1). Der kantonale Gesetzgeber wünscht im Bereich der politischen Rechte noch keine Beschwerde an das Verwaltungsgericht, es zwänge ihn denn das Bundesrecht dazu. Das tut Letzteres erst ab kommendem Jahr. Insofern gebricht es wenigstens einstweilen an einer Notwendigkeit, mit einem nicht referendumspflichtigen Erlass die bundesrechtliche Anpassungsfrist zu wahren (E. 2.5.3). Die Beschwerde ist mangels derzeitiger sachlicher Zuständigkeit des Verwaltungsgerichts nicht an die Hand zu nehmen (E. 2.6). Nichteintreten.</w:t>
      </w:r>
    </w:p>
    <w:p>
      <w:pPr>
        <w:pStyle w:val="Heading2"/>
      </w:pPr>
      <w:r>
        <w:t>Erwägungen</w:t>
      </w:r>
    </w:p>
    <w:p>
      <w:r>
        <w:rPr>
          <w:b/>
        </w:rPr>
        <w:t>E. 4</w:t>
      </w:r>
    </w:p>
    <w:p>
      <w:r>
        <w:t>Niemand von den Beteiligten hat das verwaltungsgerichtliche Verfahren verursacht; dessen Kosten sind jedenfalls darum auf die Gerichtskasse zu nehmen (vgl. Kölz/Bosshart/Röhl, § 13 N. 23 und 27). Die Beschwerdeführer können keine Parteientschädigung erhalten, weil sie vor Verwaltungsgericht nicht im Sinn von § 17 Abs. 2 VRG obsiegen (siehe zum Ganzen auch § 152 des Gesetzes über die politischen Rechte vom 1. September 2003, LS 161).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