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VB.2007.00475 vom 30. April 2008</w:t>
      </w:r>
    </w:p>
    <w:p>
      <w:r>
        <w:t>ZH Verwaltungsgericht, 2008-04-30, DE</w:t>
      </w:r>
    </w:p>
    <w:p>
      <w:r>
        <w:rPr>
          <w:b/>
        </w:rPr>
        <w:t xml:space="preserve">Quelle: </w:t>
      </w:r>
      <w:r>
        <w:t>https://mcp.opencaselaw.ch/entscheid/zh_verwaltungsgericht__VB.2007.00475</w:t>
      </w:r>
    </w:p>
    <w:p>
      <w:r>
        <w:t>FR: ZH_VERWALTUNGSGERICHT VB.2007.00475 du 30 avril 2008</w:t>
      </w:r>
    </w:p>
    <w:p>
      <w:r>
        <w:t>IT: ZH_VERWALTUNGSGERICHT VB.2007.00475 del 30 aprile 2008</w:t>
      </w:r>
    </w:p>
    <w:p>
      <w:pPr>
        <w:pStyle w:val="Heading2"/>
      </w:pPr>
      <w:r>
        <w:t>Regeste</w:t>
      </w:r>
    </w:p>
    <w:p>
      <w:r>
        <w:t>Änderung einer Stiftungsurkunde | Änderung einer Stiftungsurkunde - unvollständige Abklärung des Sachverhalts Zuständigkeit (vgl. auch VB.2006.00329; Legitimation). Eine von den Beschwerdeführern eingereichte Stellungnahme einer Drittperson wird nicht aus dem Recht gewiesen, sondern es ist Sache des Gerichts, beigebrachte Eingaben frei zu würdigen. Neue Vorbringen sind im Beschwerdeverfahren zulässig, da das Verwaltungsgericht nicht als zweite gerichtliche Instanz entscheidet (E. 1). Zur Stiftungsfreiheit. Zum ursprünglichen Zweck: Nach dem Wortlaut der Stiftungsurkunde bestand der Zweck in erster Linie in der Erhaltung der gewidmeten Liegenschaft. Die Begünstigung der drei namentlich erwähnten Institutionen sollte lediglich dann erfolgen, wenn nach der Sicherstellung des Unterhalts der Liegenschaft ein Nettobetrag verbliebe (E. 2). Die Änderung des Stiftungszwecks ist - jedenfalls nach früherem, hier relevantem Recht - nur unter erschwerten Voraussetzungen möglich. Hier gab die angeblich schlechte finanzielle Situation der Stiftung den Ausschlag, die Änderung des Stiftungszwecks zu beantragen, wodurch eine Neuüberbauung der gesamten Liegenschaft ermöglicht würde. Die Zulässigkeit der Änderung des Stiftungszwecks hängt vorliegend insbesondere von der Frage ab, ob bei einer Weiterverfolgung des Hauptzwecks tatsächlich ein Liquiditätsengpass zu erwarten ist oder nicht. Die Vorinstanz hat den Sachverhalt unvollständig abgeklärt und - in nicht nachvollziehbarer Weise - auf die Darstellung der Beschwerdegegnerschaft abgestellt. Die Angelegenheit ist deshalb an die Vorinstanz zurückzuweisen (E. 3). Kostenverlegung (E. 4). Rechtsmittelbelehrung (E. 5). Teilweise Gutheissung/Rückweisung</w:t>
      </w:r>
    </w:p>
    <w:p>
      <w:pPr>
        <w:pStyle w:val="Heading2"/>
      </w:pPr>
      <w:r>
        <w:t>Erwägungen</w:t>
      </w:r>
    </w:p>
    <w:p>
      <w:r>
        <w:rPr>
          <w:b/>
        </w:rPr>
        <w:t>E. 4</w:t>
      </w:r>
    </w:p>
    <w:p>
      <w:r>
        <w:t>Bei diesem Ausgang des Verfahrens rechtfertigt es sich, die Gerichtskosten den drei Beschwerdeführern und den drei Beschwerdegegnern je zu einem Sechstel aufzuerlegen (§ 70 in Verbindung mit § 13 Abs. 2 Satz 1 VRG). Die Beschwerdeführer gelten in diesem Verfahren als einfache Gesellschaft, weshalb sie füreinander solidarisch haften (Bosshart/Kölz/Röhl, § 17 N. 35). Parteientschädigungen sind weder den Beschwerdeführern noch der Beschwerdegegnerin 3 zuzusprechen, da keine Partei mehrheitlich obsiegt (§ 17 Abs. 2 VRG).</w:t>
      </w:r>
    </w:p>
    <w:p>
      <w:r>
        <w:rPr>
          <w:b/>
        </w:rPr>
        <w:t>E. 5</w:t>
      </w:r>
    </w:p>
    <w:p>
      <w:r>
        <w:t>Nach der Regelung von Art. 90 ff. des Bundesgerichtsgesetzes vom 17. Juni 2005 (BGG) sind letztinstanzliche kantonale Rückweisungsentscheide als Vor- oder Zwischenentscheide im Sinn von Art. 93 BGG zu qualifizieren (Hansjörg Seiler/Nicolas von Werdt/Andreas Güngerich, Bundesgerichtsgesetz, Bern 2007, Art. 90 N. 9, Art. 93 N. 2; Felix Uhlmann, Basler Kommentar, 2008, Art. 90 BGG N. 9 Abs.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