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VB.2007.00399 vom 12. Dezember 2007</w:t>
      </w:r>
    </w:p>
    <w:p>
      <w:r>
        <w:t>ZH Verwaltungsgericht, 2007-12-12, DE</w:t>
      </w:r>
    </w:p>
    <w:p>
      <w:r>
        <w:rPr>
          <w:b/>
        </w:rPr>
        <w:t xml:space="preserve">Quelle: </w:t>
      </w:r>
      <w:r>
        <w:t>https://mcp.opencaselaw.ch/entscheid/zh_verwaltungsgericht__VB.2007.00399</w:t>
      </w:r>
    </w:p>
    <w:p>
      <w:r>
        <w:t>FR: ZH_VERWALTUNGSGERICHT VB.2007.00399 du 12 décembre 2007</w:t>
      </w:r>
    </w:p>
    <w:p>
      <w:r>
        <w:t>IT: ZH_VERWALTUNGSGERICHT VB.2007.00399 del 12 dicembre 2007</w:t>
      </w:r>
    </w:p>
    <w:p>
      <w:pPr>
        <w:pStyle w:val="Heading2"/>
      </w:pPr>
      <w:r>
        <w:t>Regeste</w:t>
      </w:r>
    </w:p>
    <w:p>
      <w:r>
        <w:t>Sozialhilfe | Sozialhilfe: Anrechnung der AHV-Rente des nicht unterstützten Konkubinatspartners Nach fünfjährigem Zusammenleben unverheirateter Paare ohne gemeinsames Kind ist von einem gefestigten Konkubinat auszugehen, so dass Einkommen und Vermögen des nicht unterstützten Partners bei der Bedarfsberechnung zu berücksichtigen sind (E. 2.1). Angesichts des deutlich über fünfjährigen Zusammenlebens ist von einem gefestigten Konkubinat auszugehen. Der Altersunterschied zwischen der 54-jährigen Beschwerdeführerin und ihrem 81-jährigen Partner allein vermag die Vermutung eines gefestigten Konkubinats nicht zu entkräften. Demnach ist das Einkommen ihres Partners in die Bedarfsberechnung der Beschwerdeführerin einzubeziehen. Zum Einkommen zählt auch Ersatzeinkommen wie AHV-Renten und Ergänzungsleistungen. Dies verletzt Art. 112 Abs. 2 lit. b BV nicht, welcher den Grundsatz statuiert, dass die AHV- und IV-Renten den Existenzbedarf angemessen zu decken haben (E. 2.3). Abweisung</w:t>
      </w:r>
    </w:p>
    <w:p>
      <w:pPr>
        <w:pStyle w:val="Heading2"/>
      </w:pPr>
      <w:r>
        <w:t>Erwägungen</w:t>
      </w:r>
    </w:p>
    <w:p>
      <w:r>
        <w:rPr>
          <w:b/>
        </w:rPr>
        <w:t>E. 3</w:t>
      </w:r>
    </w:p>
    <w:p>
      <w:r>
        <w:t>Demnach ist die Beschwerde abzuweisen. Ausgangsgemäss sind die Kosten der Beschwerdeführerin aufzuerlegen, aufgrund ihrer offenbar angespannten finanziellen Situation hingegen massvoll zu bemessen (§ 13 Abs. 2 in Verbindung mit § 70 VRG;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