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VB.2007.00231 vom 8. März 2006</w:t>
      </w:r>
    </w:p>
    <w:p>
      <w:r>
        <w:t>ZH Verwaltungsgericht, 2006-03-08, DE</w:t>
      </w:r>
    </w:p>
    <w:p>
      <w:r>
        <w:rPr>
          <w:b/>
        </w:rPr>
        <w:t xml:space="preserve">Quelle: </w:t>
      </w:r>
      <w:r>
        <w:t>https://mcp.opencaselaw.ch/entscheid/zh_verwaltungsgericht__VB.2007.00231</w:t>
      </w:r>
    </w:p>
    <w:p>
      <w:r>
        <w:t>FR: ZH_VERWALTUNGSGERICHT VB.2007.00231 du 8 mars 2006</w:t>
      </w:r>
    </w:p>
    <w:p>
      <w:r>
        <w:t>IT: ZH_VERWALTUNGSGERICHT VB.2007.00231 del 8 marzo 2006</w:t>
      </w:r>
    </w:p>
    <w:p>
      <w:pPr>
        <w:pStyle w:val="Heading2"/>
      </w:pPr>
      <w:r>
        <w:t>Regeste</w:t>
      </w:r>
    </w:p>
    <w:p>
      <w:r>
        <w:t>bedingte Entlassung aus der Verwahrung | Zuständigkeit für bedingte Entlassungen aus der Verwahrung nach Inkrafttreten der Revision des Allgemeinen Teils des Strafgesetzbuches Kammerzuständigkeit, weil sich Fragen von grundsätzlicher Bedeutung stellen (E. 1). Das Verwaltungsgericht muss in jenen Bereichen seine Zuständigkeit behalten, wo vor Inkrafttreten des Bundesgerichtsgesetzes die Verwaltungsgerichtsbeschwerde an das Bundesgericht möglich war und heute eine ordentliche Beschwerde daselbst erhoben werden kann. Dies traf und trifft für Entlassungen aus der Verwahrung zu (E. 2). Auf den Beschwerdeführer als altrechtlich Verwahrtem wird das neue Massnahmenrecht angewandt. Danach wird die Freiheitsstrafe vor der Verwahrung grundsätzlich vollständig vollzogen, wenn nicht das Gericht, welches die Verwahrung ausgesprochen hat, die bedingte Entlassung aus der Freiheitsstrafe verfügt (Art. 64 Abs. 2 und 3 StGB). Der Beschwerdeführer hat seine Freiheitsstrafe noch nicht vollständig erstanden; er kann daher zum gegenwärtigen Zeitpunkt gestützt auf Art. 64 Abs. 3 StGB nur durch das Obergericht - und nicht durch die Strafvollzugsbehörde - bedingt entlassen werden. Diese Zuständigkeitsregelung verstösst als solche nicht gegen übergeordnetes Recht. Wie das Entlassungsverfahren im Einzelnen auszugestalten ist, damit es nicht mit übergeordnetem Recht in Konflikt gerät, kann vorliegend offen bleiben. Abweisung der Beschwerde (E. 3). Dem Beschwerdeführer wird Kostenfreiheit gewährt (E. 4). Rechtsmittel an das Bundesgericht (E. 5). Abweisung.</w:t>
      </w:r>
    </w:p>
    <w:p>
      <w:pPr>
        <w:pStyle w:val="Heading2"/>
      </w:pPr>
      <w:r>
        <w:t>Erwägungen</w:t>
      </w:r>
    </w:p>
    <w:p>
      <w:r>
        <w:rPr>
          <w:b/>
        </w:rPr>
        <w:t>E. 4</w:t>
      </w:r>
    </w:p>
    <w:p>
      <w:r>
        <w:t>Laut § 70 in Verbindung mit § 16 Abs. 1 VRG ist Privaten, denen die nötigen Mittel fehlen und deren Begehren nicht offensichtlich aussichtslos erscheint, auf entsprechendes Ersuchen hin die Bezahlung von Verfahrenskosten zu erlassen. Diese Voraussetzungen sind hier erfüllt, nachdem insbesondere auch von Mittellosigkeit des Beschwerdeführers ausgegangen werden kann. Somit ist sein Gesuch um Gewährung von Kostenfreiheit gutzuheissen; die Gerichtskosten sind auf die Gerichtskasse zu nehmen. Hingegen steht dem Beschwerdeführer als Unterliegendem keine Parteientschädigung zu (§ 17 Abs. 2 VRG).</w:t>
      </w:r>
    </w:p>
    <w:p>
      <w:r>
        <w:rPr>
          <w:b/>
        </w:rPr>
        <w:t>E. 5</w:t>
      </w:r>
    </w:p>
    <w:p>
      <w:r>
        <w:t>Zur Rechtsmittelbelehrung des Dispositivs ist Folgendes zu bemerken: Indem hier die vor­instanzliche Verfügung bestätigt wird, welche die sachliche Zuständigkeit verneint hat, soll es sich um den Normalfall eines Endentscheids im Sinn von Art. 90 BGG handeln (so Karl Spühler/Annette Dolge/Dominik Vock, Kurzkommentar zum Bundesgerichtsgesetz, Zürich/St. Gallen 2006, Art. 92 N. 4). Vorab erhebt sich jedoch die Frage, ob insofern überhaupt ein letztinstanzlicher kantonaler Entscheid gemäss Art. 80 Abs. 1 BGG vorliege; denn lediglich bei bejahender Antwort könnte das Bundesgericht angerufen werden (unter früherem Recht zu einem ähnlichen Problem ablehnend etwa BGr, 8. März 2006, 1A.39/2006, www.bger.ch). Abgesehen hiervon ist indes nicht ganz klar, ob der gegenwärtige einen Endentscheid bedeute (dazu etwa Hansjörg Seiler/Nicolas von Werdt/Andreas Güngerich, Bundesgerichtsgesetz, Bern 2007, Art. 90 N. 2 ff.). Verneinendenfalls scheint wenigstens sicher, dass ein Entscheid über die sachliche Zuständigkeit als ein solcher im Sinn von Art. 92 BGG gelte und sich deshalb zwar im Vergleich zu einem Endentscheid ohne zusätzliche Voraussetzungen sofort, später aber nicht mehr anfechten lasse (vgl. Seiler/von Werdt/Güngerich, Art. 92 N. 7 f. und 19; Spühler/Dolge/Vock, a.a.O.). Diese wenigstens einstweilige Ungewissheit der Rechtsmittelmöglichkeiten dünkt einen zwar unerfreulich, soll den Verfahrensbeteiligten aber nicht verschwiegen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