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VB.2007.00145 vom 11. Juli 2007</w:t>
      </w:r>
    </w:p>
    <w:p>
      <w:r>
        <w:t>ZH Verwaltungsgericht, 2007-07-11, DE</w:t>
      </w:r>
    </w:p>
    <w:p>
      <w:r>
        <w:rPr>
          <w:b/>
        </w:rPr>
        <w:t xml:space="preserve">Quelle: </w:t>
      </w:r>
      <w:r>
        <w:t>https://mcp.opencaselaw.ch/entscheid/zh_verwaltungsgericht__VB.2007.00145</w:t>
      </w:r>
    </w:p>
    <w:p>
      <w:r>
        <w:t>FR: ZH_VERWALTUNGSGERICHT VB.2007.00145 du 11 juillet 2007</w:t>
      </w:r>
    </w:p>
    <w:p>
      <w:r>
        <w:t>IT: ZH_VERWALTUNGSGERICHT VB.2007.00145 del 11 luglio 2007</w:t>
      </w:r>
    </w:p>
    <w:p>
      <w:pPr>
        <w:pStyle w:val="Heading2"/>
      </w:pPr>
      <w:r>
        <w:t>Regeste</w:t>
      </w:r>
    </w:p>
    <w:p>
      <w:r>
        <w:t>Ablehnung der Einbürgerung | Bürgerrecht: Wirtschaftliche Erhaltungsfähigkeit einer Lehrtochter oder eines Lehrlings Ausländische Personen im Alter zwischen 16 und 25 Jahren werden im Recht auf kommunale Einbürgerung den Schweizer Bürgerinnen und Bürgern gleichgestellt, wenn sie in der Schweiz während mindestens fünf Jahren den Unterricht auf Volks- oder Mittelschulstufe in einer der Landessprachen besucht haben. Die Beschwerdeführerin hat grundsätzlich einen Anspruch auf Erteilung des Gemeindebürgerrechts (E. 1). Kantonal-rechtliche Anforderungen an die wirtschaftliche Erhaltung (E. 2). Indem die kommunale Verordnung eine generell-abstrakte Regelung trifft, widerspricht sie § 22 Abs. 2 GemeindeG und § 7 BüV und ist ihr diesbezüglich die Anwendung zu versagen (E. 3.1). Massgeblich für die Beurteilung der ökonomischen Lage eines Bewerbers sind sowohl die gegenwärtigen finanziellen Verhältnisse als auch die Aussichten für die Zukunft. Deshalb können grundsätzlich auch Lehrlinge oder Studierende, die das berufliche Rüstzeug für den späteren Broterwerb besitzen, in das Bürgerrecht aufgenommen werden (E. 3.2). Die Beschwerdeführerin ist noch mindestens ein Jahr von der Asylfürsorge abhängig (E. 3.3). Der Miteinbezug der wirtschaftlichen Verhältnisse der Eltern verletzt das Gleichbehandlungsgebot nicht (E. 3.4). Die Beschwerdeführerin kann sich nicht wirtschaftlich erhalten (E. 3.5). Abweisung.</w:t>
      </w:r>
    </w:p>
    <w:p>
      <w:pPr>
        <w:pStyle w:val="Heading2"/>
      </w:pPr>
      <w:r>
        <w:t>Erwägungen</w:t>
      </w:r>
    </w:p>
    <w:p>
      <w:r>
        <w:rPr>
          <w:b/>
        </w:rPr>
        <w:t>E. 4</w:t>
      </w:r>
    </w:p>
    <w:p>
      <w:r>
        <w:t>Als unterliegende Partei wird die Beschwerdeführerin grundsätzlich kostenpflichtig und hat sie von vornherein keinen Anspruch auf Parteientschädigung (§ 13 Abs. 2 Satz 1 in Verbindung mit § 70 VRG; § 17 Abs. 2 VRG). In der Beschwerde wird angesichts der Bedürftigkeit der Beschwerdeführerin und des nicht als offensichtlich aussichtslos zu bezeichnenden Rechtsmittels um "Ausrichtung einer angemessenen Parteientschädigung im Falle des Obsiegens" ersucht. Sinngemäss wird damit die Gewährung der unentgeltlichen Rechtspflege verlangt. Laut § 70 in Verbindung mit § 16 Abs. 1 VRG ist Privaten, denen die nötigen Mittel fehlen und deren Begehren nicht offensichtlich aussichtslos erscheint, auf entsprechendes Ersuchen hin die Bezahlung von Verfahrenskosten zu erlassen. Diese Voraussetzungen sind hier erfüllt. Das Gesuch der Beschwerdeführerin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