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VB.2007.00111 vom 11. Juli 2007</w:t>
      </w:r>
    </w:p>
    <w:p>
      <w:r>
        <w:t>ZH Verwaltungsgericht, 2007-07-11, DE</w:t>
      </w:r>
    </w:p>
    <w:p>
      <w:r>
        <w:rPr>
          <w:b/>
        </w:rPr>
        <w:t xml:space="preserve">Quelle: </w:t>
      </w:r>
      <w:r>
        <w:t>https://mcp.opencaselaw.ch/entscheid/zh_verwaltungsgericht__VB.2007.00111</w:t>
      </w:r>
    </w:p>
    <w:p>
      <w:r>
        <w:t>FR: ZH_VERWALTUNGSGERICHT VB.2007.00111 du 11 juillet 2007</w:t>
      </w:r>
    </w:p>
    <w:p>
      <w:r>
        <w:t>IT: ZH_VERWALTUNGSGERICHT VB.2007.00111 del 11 luglio 2007</w:t>
      </w:r>
    </w:p>
    <w:p>
      <w:pPr>
        <w:pStyle w:val="Heading2"/>
      </w:pPr>
      <w:r>
        <w:t>Regeste</w:t>
      </w:r>
    </w:p>
    <w:p>
      <w:r>
        <w:t>Auflösung einer AG | Widerruf der Auflösung einer Gesellschaft nach Wiederherstellung des gesetzlichen Zustands - Fristenlauf und Fristwahrung Zuständigkeit einer Kammer (E. 1) des Verwaltungsgerichts (E. 2). Büsst eine juristische Person am Ort ihres statutarischen Sitzes ihr Rechtsdomizil ein, fordert das Handelsregisteramt sie auf, den rechtmässigen Zustand innert einer angemessenen Frist von mindestens 30 Tagen wiederherzustellen (Art. 88a Abs. 1 HRegV). Geschieht dies nicht, muss der Registerführer die Auflösung der Gesellschaft eintragen und Letztere hiervon in Kenntnis setzen (Art. 88a Abs. 3 in Verbindung mit Art. 86 Abs. 2 Satz 1 HRegV). Die Auflösung wird widerrufen, wenn der gesetzliche Zustand innert drei Monaten nach ihrem Eintrag wiederhergestellt wird (Art. 88a Abs. 3 in Verbindung mit 86 Abs. 3 HRegV). Es stellt sich die Frage, wann diese dreimonatige Frist zu laufen beginne und unter welchen Bedingungen sie als gewahrt erscheine (E. 3). Übereinstimmend mit der Lehre und einem Beschluss des Regierungsrates von Schaffhausen beginnt die dreimonatige Frist von Art. 86 Abs. 3 HRegV bereits mit dem Eintrag der Auflösung ins Tagebuch und etwa nicht erst mit deren Veröffentlichung im Schweizerischen Handelsamtsblatt (E. 3.1). Binnen dieser Frist muss der rechtmässige Zustand nicht nur wiederhergestellt werden, sondern seine Anmeldung auch beim Handelsregisteramt eingehen (E. 3.2). Diese Frist hat der Beschwerdeführer versäumt, weshalb die Beschwerde abgewiesen wird; dies gälte vorliegend auch, wenn die dreimonatige Frist mit der Veröffentlichung im Handelsamtsblatt beginnen würde (E. 3.1-3). Abweisung.</w:t>
      </w:r>
    </w:p>
    <w:p>
      <w:pPr>
        <w:pStyle w:val="Heading2"/>
      </w:pPr>
      <w:r>
        <w:t>Erwägungen</w:t>
      </w:r>
    </w:p>
    <w:p>
      <w:r>
        <w:rPr>
          <w:b/>
        </w:rPr>
        <w:t>E. 4</w:t>
      </w:r>
    </w:p>
    <w:p>
      <w:r>
        <w:t>Ausgangsgemäss wie schon bei der Vorinstanz wird der Beschwerdeführer kostenpflichtig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