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VB.2007.00107 vom 18. April 2007</w:t>
      </w:r>
    </w:p>
    <w:p>
      <w:r>
        <w:t>ZH Verwaltungsgericht, 2007-04-18, DE</w:t>
      </w:r>
    </w:p>
    <w:p>
      <w:r>
        <w:rPr>
          <w:b/>
        </w:rPr>
        <w:t xml:space="preserve">Quelle: </w:t>
      </w:r>
      <w:r>
        <w:t>https://mcp.opencaselaw.ch/entscheid/zh_verwaltungsgericht__VB.2007.00107</w:t>
      </w:r>
    </w:p>
    <w:p>
      <w:r>
        <w:t>FR: ZH_VERWALTUNGSGERICHT VB.2007.00107 du 18 avril 2007</w:t>
      </w:r>
    </w:p>
    <w:p>
      <w:r>
        <w:t>IT: ZH_VERWALTUNGSGERICHT VB.2007.00107 del 18 aprile 2007</w:t>
      </w:r>
    </w:p>
    <w:p>
      <w:pPr>
        <w:pStyle w:val="Heading2"/>
      </w:pPr>
      <w:r>
        <w:t>Regeste</w:t>
      </w:r>
    </w:p>
    <w:p>
      <w:r>
        <w:t>Sozialhilfe | Sozialhilfe: Rückerstattung von geleisteten Vorschüssen. Ein Anspruch auf Rückerstattung von Sozialhilfe nach § 26 SHG setzt voraus, dass der unrechtmässige Leistungsbezug durch unwahre oder unvollständige Angaben des Sozialhilfeempfängers ausgelöst wurde. Die Beschwerdegegnerin wirft dem Beschwerdeführer lediglich fehlerhaftes Verhalten vor, das sich nach Auszahlen der Hilfe ereignet hat. Dieses ist bereits aus zeitlichen Gründen nicht geeignet, den unrechtmässigen Leistungsbezug verursacht zu haben (E. 2.2). Für einen Teilbetrag der zurückgeforderten Leistung kann nicht einmal ein unrechtmässiger Leistungsbezug angenommen werden (E. 2.3). Die Auffassung, dass die Rückerstattung unrechtmässig bezogener Leistungen nicht nur unter den Voraussetzungen von § 26 SHG, sondern allgemein bei Widerruf von nur vorschussweise gewährten Leistungen erfolgen darf, ist problematisch und findet im Gesetz keine Stütze (E. 2.4). Gutheissung der Beschwerde.</w:t>
      </w:r>
    </w:p>
    <w:p>
      <w:pPr>
        <w:pStyle w:val="Heading2"/>
      </w:pPr>
      <w:r>
        <w:t>Erwägungen</w:t>
      </w:r>
    </w:p>
    <w:p>
      <w:r>
        <w:rPr>
          <w:b/>
        </w:rPr>
        <w:t>E. 3</w:t>
      </w:r>
    </w:p>
    <w:p>
      <w:r>
        <w:t>Bei diesem Verfahrensausgang sind die Kosten der Beschwerdegegnerin aufzuerlegen (§ 13 Abs. 2 in Verbindung mit § 70 VRG). Eine Parteientschädigung an diese kommt damit von vornherein nicht in Frage (§ 17 Abs. 2 VRG).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