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VB.2007.00016 vom 26. September 2007</w:t>
      </w:r>
    </w:p>
    <w:p>
      <w:r>
        <w:t>ZH Verwaltungsgericht, 2007-09-26, DE</w:t>
      </w:r>
    </w:p>
    <w:p>
      <w:r>
        <w:rPr>
          <w:b/>
        </w:rPr>
        <w:t xml:space="preserve">Quelle: </w:t>
      </w:r>
      <w:r>
        <w:t>https://mcp.opencaselaw.ch/entscheid/zh_verwaltungsgericht__VB.2007.00016</w:t>
      </w:r>
    </w:p>
    <w:p>
      <w:r>
        <w:t>FR: ZH_VERWALTUNGSGERICHT VB.2007.00016 du 26 septembre 2007</w:t>
      </w:r>
    </w:p>
    <w:p>
      <w:r>
        <w:t>IT: ZH_VERWALTUNGSGERICHT VB.2007.00016 del 26 settembre 2007</w:t>
      </w:r>
    </w:p>
    <w:p>
      <w:pPr>
        <w:pStyle w:val="Heading2"/>
      </w:pPr>
      <w:r>
        <w:t>Regeste</w:t>
      </w:r>
    </w:p>
    <w:p>
      <w:r>
        <w:t>Baubewilligung (Wiederaufnahme von VB.2006.00187) | Baubewilligung für Mobilfunk-Antennenanlage: Zulässigkeit von Projektänderungen. Das Standortdatenblatt kann im Lauf des Rechtsmittelverfahrens nicht beliebig abgeändert werden (E. 3.2). Die Betreiber der Mobilfunknetze dürfen nicht ohne weiteres damit rechnen, dass nachträgliche Änderungen der Standortdatenblätter in künftigen Verfahren weiterhin im bisherigen Umfang entgegen genommen werden (E. 3.3). Die strittige Antennenanlage ist mit keinem der eingereichten Standortdatenblätter, soweit auf diese abgestellt werden kann, bewilligungsfähig. Weitere Erhebungen oder Stellungnahmen sind beim heutigen Stand des Verfahrens nicht mehr angezeigt (E. 3.4 und E. 3.5). Gutheissung.</w:t>
      </w:r>
    </w:p>
    <w:p>
      <w:pPr>
        <w:pStyle w:val="Heading2"/>
      </w:pPr>
      <w:r>
        <w:t>Erwägungen</w:t>
      </w:r>
    </w:p>
    <w:p>
      <w:r>
        <w:rPr>
          <w:b/>
        </w:rPr>
        <w:t>E. 1</w:t>
      </w:r>
    </w:p>
    <w:p>
      <w:r>
        <w:t>B AG, vertreten durch RA C,</w:t>
      </w:r>
    </w:p>
    <w:p>
      <w:r>
        <w:rPr>
          <w:b/>
        </w:rPr>
        <w:t>E. 2</w:t>
      </w:r>
    </w:p>
    <w:p>
      <w:r>
        <w:t>D und E zogen die Beschwerde mit Eingabe vom 16. Dezember 2005 zurück. Sie haben den diesbezüglichen Abschreibungsbeschluss zwar nicht beim Bundesgericht angefochten. Der Entscheid vom 8. Februar 2006 wurde vom Bundesgericht jedoch gesamthaft aufgehoben. Der Klarheit halber ist deshalb festzuhalten, dass dem Rückzug auch bei der Wiederaufnahme des Verfahrens Rechnung zu tragen ist. Das Verfahren ist diesbezüglich als erledigt abzuschreiben. Auf die Erhebung von Gerichtskosten kann aus den im Entscheid vom 8. Februar 2006 genannten Gründen verzichtet werden.</w:t>
      </w:r>
    </w:p>
    <w:p>
      <w:r>
        <w:rPr>
          <w:b/>
        </w:rPr>
        <w:t>E. 3.1</w:t>
      </w:r>
    </w:p>
    <w:p>
      <w:r>
        <w:t>Die Bauherrin und private Be­schwer­de­geg­nerin hat im Verlauf des Bewilligungs- und Rechtsmittelverfahrens bis heute vier verschiedene Stand­ort­da­ten­blätter eingereicht: –     Stand­ort­da­ten­blatt vom 20. Oktober 2003: Dieses war Bestandteil des Baugesuchs und damit Grundlage der strittigen Baubewilligung vom 11. Dezember 2003. –     Stand­ort­da­ten­blatt vom 1. September 2006: Dieses Stand­ort­da­ten­blatt reichte die private Be­schwer­de­geg­nerin im Verfahren vor Bun­des­ge­richt am 4. September 2006 ein, um den Einwen­dungen des BAFU Rechnung zu tragen. Es enthält gegenüber dem ursprünglichen Stand­ort­da­ten­blatt vom 23. Oktober 2003 teilweise neue Berechnungen und stellt überdies klar, dass die deklarierten Neigungswinkel der Antennen ausschliesslich elektrisch eingestellt werden, während die mechanischen Neigungswinkel mit 0° angegeben werden. Das Stand­ort­da­ten­blatt ist jedoch weder unterzeichnet noch weist es den vorgesehenen Firmenstempel auf, was die Be­schwer­de­füh­ren­den zu Recht beanstandeten. –     Stand­ort­da­ten­blatt vom 27. April 2007: Nachdem die private Be­schwer­de­geg­nerin mit Präsidialverfügung vom 10. April 2007 aufgefordert worden war, dem Gericht ein aktuelles, inhaltlich vollständiges und formell korrektes Stand­ort­da­ten­blatt einzureichen, reichte sie mit Eingabe vom 7. Mai 2007 ein neues Stand­ort­da­ten­blatt ein. Dieses enthält jedoch nicht nur aktualisierte Berechnungen sowie Stempel und Unterschrift, sondern weist auch zahlreiche inhaltliche Änderungen auf. Insbesondere wurden die Sendeleistungen (ERP) der geplanten Antennen z.T. erheblich erhöht: Antennen A01+A04        bisher     1900 W           neu    1600 W A02+A05                      2150 W                    3140 W A03+A06                      2150 W                    3660 W Total                                                   6200 W                    8400 W Damit erhöhte sich der Radius des Anlageperimeters von bisher 92 m auf neu 115 m und der maximale Abstand, bis zu welchem die Berechtigung zur Einsprache gegeben ist, von 918 m auf 1'154 m. Überdies wurde bei mehreren Antennen der vertikale Neigungswinkel erweitert. (Im neuen Stand­ort­da­ten­blatt wurden auch die Bezeichnungen der Antennen geändert; im Interesse der Vergleichbarkeit werden hier jedoch weiterhin die alten Bezeichnungen verwendet.) –     Stand­ort­da­ten­blatt vom 17. August 2007: Dieses von der privaten Be­schwer­de­geg­nerin mit der Stellungnahme vom 20. August 2007 eingereichte neue Stand­ort­da­ten­blatt enthält eine deutliche Reduktion der vorgesehenen Sendeleistungen. Diese liegen nun noch unter jenen des ursprünglichen Stand­ort­da­ten­blatts vom 20. Oktober 2003: Antennen A01+A04:       neu         1550 W A02+A05                      1650 W A03+A06                      1350 W Total                                                   4550 W Der Radius des Anlageperimeters wurde damit auf 77 m und der maximale Abstand, bis zu welchem die Berechtigung zur Einsprache gegeben ist, auf 767 m reduziert.</w:t>
      </w:r>
    </w:p>
    <w:p>
      <w:r>
        <w:rPr>
          <w:b/>
        </w:rPr>
        <w:t>E. 3.2</w:t>
      </w:r>
    </w:p>
    <w:p>
      <w:r>
        <w:t>Das Stand­ort­da­ten­blatt definiert die technischen und betrieblichen Daten der Anlage, welche für die verursachten Emissionen von Bedeutung sind, und enthält Berechnungen der zu erwartenden Immissionen (Art. 11 Abs. 2 der Verordnung vom 23. Dezember 1999 über den Schutz vor nichtionisierender Strahlung [ NISV]). Ebenso wie die Projektpläne gehört es zu den massgeblichen Grundlagen des Baugesuchs. Auf das durch Projektpläne und Stand­ort­da­ten­blatt umschriebene Bauvorhaben bezieht sich die in der Folge erteilte Baubewilligung, die im Fall eines Weiterzugs auch den Streitgegenstand des Rechtsmittelverfahrens begrenzt. Das Stand­ort­da­ten­blatt kann daher ebenso wenig wie die Baupläne im Lauf des Rechtsmittelverfahrens beliebig geändert werden. Mit der Änderung der technischen Daten einer projektierten Anlage wird einerseits der Streitgegenstand verändert. Anderseits bedeutet eine Projektänderung stets auch die Geltendmachung neuer Tatsachen, die im Be­schwer­deverfahren vor Ver­wal­tungs­ge­richt, wenn dieses wie hier als zweite gerichtliche Instanz entscheidet, nur beschränkt zulässig ist (§ 52 Abs. 2 des Verwaltungsrechtspflegegesetzes vom 24. Mai 1959 [ VRG]) und nach Ablauf der Be­schwer­defrist – bzw. für die Be­schwer­de­geg­ner nach der Be­schwer­de­ant­wort (vgl. RB 2003 Nr. 56 = BEZ 2003 Nr. 50) – grundsätzlich nicht mehr in Frage 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