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VB.2006.00277 vom 14. März 2007</w:t>
      </w:r>
    </w:p>
    <w:p>
      <w:r>
        <w:t>ZH Verwaltungsgericht, 2007-03-14, DE</w:t>
      </w:r>
    </w:p>
    <w:p>
      <w:r>
        <w:rPr>
          <w:b/>
        </w:rPr>
        <w:t xml:space="preserve">Quelle: </w:t>
      </w:r>
      <w:r>
        <w:t>https://mcp.opencaselaw.ch/entscheid/zh_verwaltungsgericht__VB.2006.00277</w:t>
      </w:r>
    </w:p>
    <w:p>
      <w:r>
        <w:t>FR: ZH_VERWALTUNGSGERICHT VB.2006.00277 du 14 mars 2007</w:t>
      </w:r>
    </w:p>
    <w:p>
      <w:r>
        <w:t>IT: ZH_VERWALTUNGSGERICHT VB.2006.00277 del 14 marzo 2007</w:t>
      </w:r>
    </w:p>
    <w:p>
      <w:pPr>
        <w:pStyle w:val="Heading2"/>
      </w:pPr>
      <w:r>
        <w:t>Regeste</w:t>
      </w:r>
    </w:p>
    <w:p>
      <w:r>
        <w:t>Baubewilligung | Neubau eines Mehrfamilienhauses in Zollikon: Planungsrechtliche Baureife; Rücksichtnahme im Sinn von § 238 Abs. 2 PBG auf benachbarte Denkmalschutzobjekte. Nach Ablehnung der BZO-Revision und der Rückweisung der Vorlage durch die Gemeindeversammlung liegt kein förmlicher Antrag des Gemeinderats im Sinn von § 234 PBG vor, was aber nicht ohne weiteres bedeutet, dass die planungsrechtliche Baureife gegeben ist. Vorliegend ist jedoch bei der Rückweisung an den Gemeinderat keine Stossrichtung zu erkennen. Die neue Vorlage ist deshalb zu unbestimmt, als dass sie den Schutz vor Präjudizierung beanspruchen könnte (E. 3.3). Die Vorinstanzen haben die bauliche Beziehung zu den umliegenden Schutzobjekten ausreichend und zutreffend gewürdigt. Unter gestalterischen Gesichtspunkten im Sinn von § 238 Abs. 2 PBG hat die Baurekurskommission somit zu Recht nicht korrigierend in den Entscheid der kommunalen Baubehörde eingegriffen (E. 4.4 und 4.5). Abweisung.</w:t>
      </w:r>
    </w:p>
    <w:p>
      <w:pPr>
        <w:pStyle w:val="Heading2"/>
      </w:pPr>
      <w:r>
        <w:t>Erwägungen</w:t>
      </w:r>
    </w:p>
    <w:p>
      <w:r>
        <w:rPr>
          <w:b/>
        </w:rPr>
        <w:t>E. 5</w:t>
      </w:r>
    </w:p>
    <w:p>
      <w:r>
        <w:t>Kosten- und Entschädigungsfolgen Damit erweist sich die Beschwerde als unbegründet und ist abzuweisen. Ausgangsgemäss sind die Gerichtskosten den Beschwerdeführenden aufzuerlegen (§ 70 in Verbindung mit § 13 Abs. 2 VRG); eine Parteientschädigung steht ihnen von vornherein nicht zu. Hingegen haben sie die privaten Beschwerdegegner für deren Umtriebe im Beschwerdeverfahren angemessen zu entschädigen (§ 17 Abs. 2 lit. a VRG; § 12 Gebührenverordnung des Verwaltungsgerichts vom 26. Juni 1997, LS 175.252). Als angemessen erweist sich eine Parteientschädigung von insgesamt Fr. 1'750.-. Der nicht anwaltlich vertretenen Gemeinde, der durch die Beschwerdebeantwortung kein wesentlicher eigener Aufwand entstanden ist, steht keine Entschädigung zu.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