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VB.2006.00208 vom 8. November 2006</w:t>
      </w:r>
    </w:p>
    <w:p>
      <w:r>
        <w:t>ZH Verwaltungsgericht, 2006-11-08, DE</w:t>
      </w:r>
    </w:p>
    <w:p>
      <w:r>
        <w:rPr>
          <w:b/>
        </w:rPr>
        <w:t xml:space="preserve">Quelle: </w:t>
      </w:r>
      <w:r>
        <w:t>https://mcp.opencaselaw.ch/entscheid/zh_verwaltungsgericht__VB.2006.00208</w:t>
      </w:r>
    </w:p>
    <w:p>
      <w:r>
        <w:t>FR: ZH_VERWALTUNGSGERICHT VB.2006.00208 du 8 novembre 2006</w:t>
      </w:r>
    </w:p>
    <w:p>
      <w:r>
        <w:t>IT: ZH_VERWALTUNGSGERICHT VB.2006.00208 del 8 novembre 2006</w:t>
      </w:r>
    </w:p>
    <w:p>
      <w:pPr>
        <w:pStyle w:val="Heading2"/>
      </w:pPr>
      <w:r>
        <w:t>Regeste</w:t>
      </w:r>
    </w:p>
    <w:p>
      <w:r>
        <w:t>Nichtbestehen Matura / Maturitätsprüfung | Keine Verfahrensmängel beim Zustandekommen der Noten Der Beschwerdeführer hat die Maturitätsprüfung zum zweiten Mal nicht bestanden. Er macht Verfahrensfehler beim Zustandekommen zweier Noten geltend. Zuständigkeit und Legitimation (E. 1). Kognition (E. 2). Auf Verfahrensfragen haben alle Einwendungen Bezug, die den äusseren Ablauf des Examens oder der Bewertung betreffen (E. 2.2). Es besteht kein Grund, die Unbefangenheit des Musiklehrers in Zweifel zu ziehen. Die Erfahrungsnote im Fach Musik ist rechtmässig zustande gekommen (E. 3). Dass die Liste mit den schriftlichen Prüfungsnoten während der mündlichen Maturitätsprüfung im Fach Französisch auf dem Pult lag, ist zwar unvorsichtig, aber kein Verfahrensfehler (E. 4.1). Für den Beschwerdeführer muss bereits vor der mündlichen Prüfung ersichtlich gewesen sein, dass sich seine Zahnspange auf die Ausdrucksfähigkeit auswirken könnte. Es ist ihm verwehrt, sich nach Bekanntgabe des negativen Prüfungsergebnisses auf diesen Grund zu berufen (E. 4.2). Abweisung.</w:t>
      </w:r>
    </w:p>
    <w:p>
      <w:pPr>
        <w:pStyle w:val="Heading2"/>
      </w:pPr>
      <w:r>
        <w:t>Erwägungen</w:t>
      </w:r>
    </w:p>
    <w:p>
      <w:r>
        <w:rPr>
          <w:b/>
        </w:rPr>
        <w:t>E. 4</w:t>
      </w:r>
    </w:p>
    <w:p>
      <w:r>
        <w:t>Weiter rügt der Beschwerdeführer einen Verfahrensfehler im Prüfungsablauf der mündlichen Maturitätsprüfung im Fach Französisch. Der Examinator habe unvorsichtigerweise die Klassenliste mit sämtlichen Noten der schriftlichen Französischmatura aller Schüler der Klasse auf seinem Pult liegen gehabt. Dies habe der Beschwerdeführer nach kurzer Zeit bemerkt, und er habe in der Liste seine Note 3 erkennen können. Aufgrund dieser ungewollten Information habe er sich während der mündlichen Prüfung kaum mehr konzentrieren können. Erschwerend sei hinzugekommen, dass der Beschwerdeführer im Juni 2005 einen Unfall gehabt habe, bei welchem er sich Verletzungen im Kieferbereich zugezogen habe. Er habe eine Zahnspange tragen müssen, welche das Sprechen stark behindert habe. In der Folge habe er sich nicht mehr deutlich ausdrücken können, was ihm in der mündlichen Französischprüfung angelastet worden sei.</w:t>
      </w:r>
    </w:p>
    <w:p>
      <w:r>
        <w:rPr>
          <w:b/>
        </w:rPr>
        <w:t>E. 4.1</w:t>
      </w:r>
    </w:p>
    <w:p>
      <w:r>
        <w:t>Es ist strittig, ob der Beschwerdeführer die Note seiner schriftlichen Maturitätsprüfung im Fach Französisch überhaupt hat lesen können. Der Examinator schliesst dies aus, der Rektor bezweifelt es. Dass die Liste mit den schriftlichen Prüfungsnoten auf dem Pult lag, ist zwar unvorsichtig, aber kein Verfahrensfehler (vgl. Eidgenössisches Departement des Innern, 1. März 1977, VPB 41.101, E. 3). Der Beschwerdeführer hätte spätestens am Ende der Prüfung den Experten zur Kenntnis bringen müssen, dass er die Note der schriftlichen Prüfung sehen konnte und deswegen zusätzlich nervös war. So hätte der Einwand bei der Notengebung wohl berücksichtigt werden können. Im Nachhinein ist es unmöglich zu überprüfen, ob der Beschwerdeführer die Note gesehen hat. Daran würde auch die anbegehrte Zeugeneinvernahme nichts ändern. Der Vorinstanz ist zwar nicht zuzustimmen, wenn sie festhält, von einer Blockade sei höchstens auszugehen, wenn der Beschwerdeführer nicht mehr in der Lage gewesen wäre, die Prüfung zu leisten. Es ist durchaus vorstellbar, dass die Kenntnis der ungenügenden Note zusätzliche Nervosität verursachte. Auf die weiteren Erwägungen der Vorinstanz kann jedoch verwiesen werden (§ 70 in Verbindung mit § 28 Abs. 1 Satz 2 VRG).</w:t>
      </w:r>
    </w:p>
    <w:p>
      <w:r>
        <w:rPr>
          <w:b/>
        </w:rPr>
        <w:t>E. 4.2</w:t>
      </w:r>
    </w:p>
    <w:p>
      <w:r>
        <w:t>Hinsichtlich der Rüge, die Artikulationsschwierigkeiten des Beschwerdeführers seien bei der Beurteilung nicht berücksichtigt worden, ist Folgendes festzuhalten: Der Grundsatz, dass eine Kandidatin oder ein Kandidat einen bekannten oder erkennbaren Grund, der die Prüfungsfähigkeit aufhebt oder beeinträchtigt, unverzüglich vorzubringen hat und dass dessen Geltendmachung nach Absolvierung der Prüfung oder sogar nach Resultatbekanntgabe nicht mehr beachtlich ist, entspricht gefestigter Rechtsprechung (vgl. Rekurskommission der Universität Zürich, 13. Dezember 2001, 23/01, E. 5b, www.zhentscheide.zh.ch; Eidgenössische Rekurskommission für medizinische Aus- und Weiterbildung, 27. August 2002, VPB 67.30, E. 3b und c; Rat der Eidgenössischen Technischen Hochschulen, 16. September 1998, VPB 63.48, E. 3) und stellt nach der bundesgerichtlichen Rechtsprechung auch keinen überspitzten Formalismus dar (BGr, 18. Oktober 2002, 2P.140/2002, E. 5.2, www.bger.ch). Mit dieser Regelung soll ausgeschlossen werden, dass jemand in Kenntnis eines Verhinderungsgrundes die Prüfung ablegt und nachträglich – verständlicherweise natürlich nur im Falle des Scheiterns – unter Anrufung dieses Grundes die Annullierung der Prüfung oder eine mildere Beurteilung verlangt. Aus dem Gebot des Handelns nach Treu und Glauben folgt zudem, dass widersprüchliches Verhalten Privater nicht geschützt und es grundsätzlich auch nicht zulässig ist, formelle Rügen, welche in einem frühen Stadium hätten geltend gemacht werden können, bei ungünstigem Ausgang noch später vorzubringen (BGE 119 Ia 221 E. 5a). Aktenkundig ist eine Bestätigung des Zahnunfalls durch eine Zahnärztin vom 3. Oktober 2005. Die für das Rekursverfahren ausgefertigte Bestätigung hält fest, dass die Spange die Sprache beträchtlich behindern könne. Für den Beschwerdeführer muss bereits vor der mündlichen Prüfung ersichtlich gewesen sein, dass sich seine Zahnspange auf die Ausdrucksfähigkeit auswirken könnte. Es finden sich jedoch keine Hinweise in den Akten, dass er diesen Einwand vor oder während der Prüfung eingebracht hätte. Damit ist es ihm verwehrt, sich nach Bekanntgabe des negativen Prüfungsergebnisses auf diesen Grund zu berufen. Laut Beschwerdeschrift war die Zahnspange ausserdem gut sichtbar, weshalb davon ausgegangen werden kann, dass die beeinträchtigte Artikulationsfähigkeit von den Experten angemessen berücksichtigt wurde. Ausserdem ist dem Prüfungsprotokoll zu entnehmen, dass der Beschwerdeführer in Französisch formal sehr schwach ist. Darauf hat das Tragen der Zahnspange keinen Einfluss. Die Vorinstanz hat zutreffend ausgeführt, dass die Leistungen des Beschwerdeführers nicht willkürlich bewertet wurden.</w:t>
      </w:r>
    </w:p>
    <w:p>
      <w:r>
        <w:rPr>
          <w:b/>
        </w:rPr>
        <w:t>E. 4.3</w:t>
      </w:r>
    </w:p>
    <w:p>
      <w:r>
        <w:t>Damit ergibt sich, dass die Note der mündlichen Maturitätsprüfung im Fach Französisch rechtmässig zustande gekommen ist.</w:t>
      </w:r>
    </w:p>
    <w:p>
      <w:r>
        <w:rPr>
          <w:b/>
        </w:rPr>
        <w:t>E. 5</w:t>
      </w:r>
    </w:p>
    <w:p>
      <w:r>
        <w:t>Die Beschwerde ist somit abzuweisen.</w:t>
      </w:r>
    </w:p>
    <w:p>
      <w:r>
        <w:rPr>
          <w:b/>
        </w:rPr>
        <w:t>E. 6</w:t>
      </w:r>
    </w:p>
    <w:p>
      <w:r>
        <w:t>Entsprechend sind die Gerichtskosten dem unterliegenden Beschwerdeführer aufzuerlegen und bleibt ihm eine Parteientschädigung versagt (§ 70 in Verbindung mit § 13 Abs. 2 Satz 1 VRG,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