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VB.2006.00182 vom 28. August 2006</w:t>
      </w:r>
    </w:p>
    <w:p>
      <w:r>
        <w:t>ZH Verwaltungsgericht, 2006-08-28, DE</w:t>
      </w:r>
    </w:p>
    <w:p>
      <w:r>
        <w:rPr>
          <w:b/>
        </w:rPr>
        <w:t xml:space="preserve">Quelle: </w:t>
      </w:r>
      <w:r>
        <w:t>https://mcp.opencaselaw.ch/entscheid/zh_verwaltungsgericht__VB.2006.00182</w:t>
      </w:r>
    </w:p>
    <w:p>
      <w:r>
        <w:t>FR: ZH_VERWALTUNGSGERICHT VB.2006.00182 du 28 août 2006</w:t>
      </w:r>
    </w:p>
    <w:p>
      <w:r>
        <w:t>IT: ZH_VERWALTUNGSGERICHT VB.2006.00182 del 28 agosto 2006</w:t>
      </w:r>
    </w:p>
    <w:p>
      <w:pPr>
        <w:pStyle w:val="Heading2"/>
      </w:pPr>
      <w:r>
        <w:t>Regeste</w:t>
      </w:r>
    </w:p>
    <w:p>
      <w:r>
        <w:t>Sozialhilfe | Sozialhilfe: Höhe der Haushaltentschädigung (Fr. 900.- oder Fr. 675.-): Zuständigkeit des Einzelrichters (E.1). Streitig ist die Höhe der Haushaltsentschädigung, welche sich die Sozialhilfebezügerin anrechnen lassen muss. Der Bezirksrat hat die Entschädigung auf Fr. 675.- herabgesetzt; die Beschwerde führende Gemeinde möchte sie auf Fr. 900.- belassen haben (E.2.3). Die Erwägungen der Vorinstanz überzeugen. Da der Bezirksrat die Reduktion der Haushaltsentschädigung nicht mit mangelnder Leistungsfähigkeit des Wohnpartners begründet hat, sind die finanziellen Verhältnisse des Wohnpartners als Drittperson für die infrage stehende Position der Bedarfsrechnung nicht ausschlaggebend (E.2.4). Abweisung der Beschwerde (E.3).</w:t>
      </w:r>
    </w:p>
    <w:p>
      <w:pPr>
        <w:pStyle w:val="Heading2"/>
      </w:pPr>
      <w:r>
        <w:t>Erwägungen</w:t>
      </w:r>
    </w:p>
    <w:p>
      <w:r>
        <w:rPr>
          <w:b/>
        </w:rPr>
        <w:t>E. 3</w:t>
      </w:r>
    </w:p>
    <w:p>
      <w:r>
        <w:t>Demnach ist die Beschwerde abzuweisen. Die Gerichtskosten sind der unterliegenden Beschwerdeführerin aufzuerlegen (§ 70 in Verbindung mit § 13 Abs. 2 VRG). Das Begehren der Beschwerdegegnerin um unentgeltliche Prozessführung erweist sich damit als gegen­standslos.</w:t>
      </w:r>
    </w:p>
    <w:p>
      <w:r>
        <w:rPr>
          <w:b/>
        </w:rPr>
        <w:t>E. 4.1</w:t>
      </w:r>
    </w:p>
    <w:p>
      <w:r>
        <w:t>Die Beschwerdegegnerin ersucht um Gewährung der unentgeltlichen Rechtsverbeiständung. Gemäss § 16 VRG hat eine private Prozesspartei Anspruch auf Bestellung eines unentgeltlichen Rechtsbeistands, wenn ihr wegen Mittellosigkeit sowie aufgrund eines als nicht aussichtslos zu würdigenden Begehrens die unentgeltliche Prozessführung zusteht (Abs. 1) und wenn sie zudem nicht in der Lage ist, ihre Rechte im Verfahren selbst zu wahren (Abs. 2). Soweit die Beschwerdegegnerin ihr Gesuch auch für das Rekursverfahren stellt, ist ihm schon deswegen nicht zu entsprechen, weil ihr diesbezügliches Begehren bereits vom Bezirksrat abgelehnt worden ist. Auf diesen vorinstanzlichen Beschluss könnte nur zurückgekommen werden, wenn ihn die Beschwerdegegnerin mit eigener Beschwerde angefochten hätte, was sie nicht getan hat. Im Übrigen hat der Bezirksrat zutreffend dargelegt, dass die zu beurteilende Streitsache nicht derart komplex sei, dass die Rekurrentin auf einen Rechtsbeistand angewiesen gewesen wäre. Gleiches muss umso mehr für das jetzige Verfahren vor Verwaltungsgericht gelten, in dem lediglich noch die Bemessung der Haushaltsentschädigung streitig blieb und sich die Beschwerdegegnerin auf die Verteidigung des bezirksrätlichen Rekursentscheids beschränken konnte. Das Begehren um unentgeltliche Rechtsverbeiständung ist daher abzuweisen.</w:t>
      </w:r>
    </w:p>
    <w:p>
      <w:r>
        <w:rPr>
          <w:b/>
        </w:rPr>
        <w:t>E. 4.2</w:t>
      </w:r>
    </w:p>
    <w:p>
      <w:r>
        <w:t>Die Beschwerdegegnerin ersucht ausserdem um Ausrichtung einer Parteientschädigung. Gemäss § 17 Abs. 2 VRG kann im Rekurs- und im Beschwerdeverfahren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Gemäss ständiger Praxis werden an die Zusprechung einer Parteientschädigung nach § 17 Abs. 2 lit. a VRG weniger strenge Anforderungen als an die Notwendigkeit eines unentgeltlichen Rechtsbeistandes im Sinn von § 16 Abs. 2 VRG gestellt. Zudem besteht bei der Zusprechung von Parteientschädigungen ohnehin ein grösserer Beurteilungsspielraum, weil die Voraussetzungen dafür in § 17 Abs. 2 lit. a und b VRG nicht abschliessend umschrieben werden. Im vorliegenden Fall rechtfertigt sich die Zusprechung einer Parteientschädigung an die obsiegende Beschwerdegegnerin. Als angemessen erweist sich ein Betrag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