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VB.2006.00094 vom 23. Juni 2006</w:t>
      </w:r>
    </w:p>
    <w:p>
      <w:r>
        <w:t>ZH Verwaltungsgericht, 2006-06-23, DE</w:t>
      </w:r>
    </w:p>
    <w:p>
      <w:r>
        <w:rPr>
          <w:b/>
        </w:rPr>
        <w:t xml:space="preserve">Quelle: </w:t>
      </w:r>
      <w:r>
        <w:t>https://mcp.opencaselaw.ch/entscheid/zh_verwaltungsgericht__VB.2006.00094</w:t>
      </w:r>
    </w:p>
    <w:p>
      <w:r>
        <w:t>FR: ZH_VERWALTUNGSGERICHT VB.2006.00094 du 23 juin 2006</w:t>
      </w:r>
    </w:p>
    <w:p>
      <w:r>
        <w:t>IT: ZH_VERWALTUNGSGERICHT VB.2006.00094 del 23 giugno 2006</w:t>
      </w:r>
    </w:p>
    <w:p>
      <w:pPr>
        <w:pStyle w:val="Heading2"/>
      </w:pPr>
      <w:r>
        <w:t>Regeste</w:t>
      </w:r>
    </w:p>
    <w:p>
      <w:r>
        <w:t>Wasseranschlussgebühren | Erhebung der Wasseranschlussgebühr für eine Unternviveugarage: Zuständigkeit des Einzelrichters; kein zweiter Schriftenwechsel (E.1). Ist bei der Festsetzung der Anschlussgebühr auch der Gebäudeversicherungswert der Unterniveaugarage einzubeziehen, die über keinen Wasseranschluss verfügt? (E.2.1). Entscheid liegt im Ermessen des Gesetzgebers. Der kommunale Gesetzgeber hat keinen Ausschluss vorgesehen (E.2.2). Die um den Gebäudeversicherungswert der Unterniveaugarage erhöhte Gebühr verletzt das Äquivalenzprinzip nicht (E.2.3). Auf die Abgabe ist die Mehrwertsteuer zu entrichten (E.3). Abweisung und Kostenfolge (E.4).</w:t>
      </w:r>
    </w:p>
    <w:p>
      <w:pPr>
        <w:pStyle w:val="Heading2"/>
      </w:pPr>
      <w:r>
        <w:t>Erwägungen</w:t>
      </w:r>
    </w:p>
    <w:p>
      <w:r>
        <w:rPr>
          <w:b/>
        </w:rPr>
        <w:t>E. 3</w:t>
      </w:r>
    </w:p>
    <w:p>
      <w:r>
        <w:t>Die Beschwerdeführer beantragen die Aufhebung des angefochtenen Beschlusses hinsichtlich der Bezahlung der Mehrwertsteuer. Der Bezirksrat hat in seiner Erwägung 5 die verwaltungsgerichtliche Rechtsprechung hierzu korrekt wiedergegeben, weshalb darauf verwiesen werden kann (§ 70 in Verbindung mit § 28 Abs. 1 Satz 2 VRG). Soweit die Beschwerdeführer geltend machen, sie hätten nach Treu und Glauben davon ausgehen dürfen, dass in den festgesetzten Gebühren die Mehrwertsteuer mit enthalten sei, ist ihnen entgegen zu halten, dass ihnen die Werkkommission bereits in der Anschlussbewilligung vom 1. Juli 2002 Gebühren in der Höhe von Fr. 162'000.- exklusive Mehrwertsteuer in Rechnung gestellt hatte. Damit wussten die Beschwerdeführer bereits am 1. Juli 2002, dass zu den Gebühren noch die Mehrwertsteuer hinzukommen würde. Die Beschwerde ist in diesem Punkt deshalb abzuweisen.</w:t>
      </w:r>
    </w:p>
    <w:p>
      <w:r>
        <w:rPr>
          <w:b/>
        </w:rPr>
        <w:t>E. 4</w:t>
      </w:r>
    </w:p>
    <w:p>
      <w:r>
        <w:t>Bei diesem Verfahrensausgang sind die Gerichtskosten den Beschwerdeführern aufzuerlegen (§ 70 in Verbindung mit § 13 Abs. 2 VRG). Eine Parteientschädigung steht ihnen von vornherein nicht zu (§ 17 Abs. 2 VRG). Eine solche steht aber auch der Beschwerdegegnerin nicht zu. Die Beantwortung von Rechtsmitteln gehört zum angestammten Aufgabenbereich des Gemeinwesens, was die Zusprechung einer Parteientschädigung an die obsiegende Behörde zwar nicht ausschliesst, jedoch nur dann als gerechtfertigt erscheinen lässt, wenn die Beantwortung mit einem ausserordentlichen Aufwand verbunden war (Alfred Kölz/Jürg Bosshart/Martin Röhl, Kommentar zum Verwaltungsrechtspflegegesetz des Kantons Zürich, 2. A., Zürich 1999, § 17 N. 19). Diese Voraussetzungen sind hier nicht erfüllt. Die Beschwerde war ebenfalls nicht offensichtlich unbegründet, weshalb eine Parteientschädigung auch nicht gestützt auf § 17 Abs. 2 lit. b VRG auszurichten ist.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