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VB.2006.00044 vom 22. März 2004</w:t>
      </w:r>
    </w:p>
    <w:p>
      <w:r>
        <w:t>ZH Verwaltungsgericht, 2004-03-22, DE</w:t>
      </w:r>
    </w:p>
    <w:p>
      <w:r>
        <w:rPr>
          <w:b/>
        </w:rPr>
        <w:t xml:space="preserve">Quelle: </w:t>
      </w:r>
      <w:r>
        <w:t>https://mcp.opencaselaw.ch/entscheid/zh_verwaltungsgericht__VB.2006.00044</w:t>
      </w:r>
    </w:p>
    <w:p>
      <w:r>
        <w:t>FR: ZH_VERWALTUNGSGERICHT VB.2006.00044 du 22 mars 2004</w:t>
      </w:r>
    </w:p>
    <w:p>
      <w:r>
        <w:t>IT: ZH_VERWALTUNGSGERICHT VB.2006.00044 del 22 marzo 2004</w:t>
      </w:r>
    </w:p>
    <w:p>
      <w:pPr>
        <w:pStyle w:val="Heading2"/>
      </w:pPr>
      <w:r>
        <w:t>Regeste</w:t>
      </w:r>
    </w:p>
    <w:p>
      <w:r>
        <w:t>bedingte Entlassung / Vollzug der Landesverweisung | Die Verknüpfung von bedingter Entlassung und Vollzug der Landesverweisung ist unzulässig, wenn dem Verurteilten in der Schweiz grundsätzlich eine günstige Prognose gestellt wird. Zu Zuständigkeit und Kognition (E. 1). Die bedingte Entlassung ist die Regel, von der nur aus guten Gründen abgewichen werden darf. Vorliegend sind keine triftigen Gründe ersichtlich, um von dieser Regel abzuweichen. Die Verknüpfung von bedingter Entlassung und Vollzug der Landesverweisung ist nur zulässig, wenn dem Verurteilten in der Schweiz eine ungünstige Prognose gestellt wird. Dies trifft vorliegend nicht zu. Dem Beschwerdeführer ist die bedingte Entlassung deshalb zu gewähren (E. 2). Die Resozialisierungs-Chancen des Beschwerdeführers sind in seiner Heimat besser als in der Schweiz. Der probeweise Aufschub der Landesverweisung durfte ohne Rechtsverletzung verweigert werden (E. 3). Gutheissung des Gesuchs um unentgeltliche Rechtspflege (E. 4). Kostenfolgen (E. 5). Teilweise Gutheissung</w:t>
      </w:r>
    </w:p>
    <w:p>
      <w:pPr>
        <w:pStyle w:val="Heading2"/>
      </w:pPr>
      <w:r>
        <w:t>Erwägungen</w:t>
      </w:r>
    </w:p>
    <w:p>
      <w:r>
        <w:rPr>
          <w:b/>
        </w:rPr>
        <w:t>E. 4</w:t>
      </w:r>
    </w:p>
    <w:p>
      <w:r>
        <w:t>Der Beschwerdeführer ersucht um Bewilligung der unentgeltlichen Prozessführung und Bestellung einer unentgeltlichen Rechtsvertreterin. Privaten kann gestützt auf § 16 Abs. 1 VRG die Bezahlung von Verfahrenskosten erlassen werden, wenn ihnen die nötigen Mittel fehlen und ihr Begehren nicht offensichtlich aus­sichtslos erscheint. Als aussichtslos sind Begehren anzusehen, bei denen die Aussichten auf Gutheissung um derart viel kleiner als jene auf Abweisung erscheinen, dass sie kaum als ernsthaft bezeichnet werden können (Kölz/Bosshart/Röhl, § 16 N. 32). Darüber hinaus hat die Partei unter den gleichen Voraussetzungen Anspruch auf die Bestellung eines unentgeltlichen Rechtsbeistands, sofern sie nicht in der Lage ist, ihre Rechte im Verfahren selbst zu wahren (§ 16 Abs. 2 VRG; RB 1994 Nr. 4; BGE 119 Ia 264 E. 3b; René Rhinow/Heinrich Koller/Christina Kiss, Öffentliches Prozessrecht und Justizverfassungsrecht des Bundes, Basel und Frankfurt a.M. 1996, Rz. 1181; Kölz/Bosshart/Röhl, § 16 N. 39). Der Beschwerdeführer ist offenkundig mittellos und nicht rechtskundig. Zudem wirft die Streitsache nicht bloss einfache Fragen auf und kann die Beschwerde auch nicht als aussichtslos bezeichnet werden. Das Gesuch ist daher zu bewilligen.</w:t>
      </w:r>
    </w:p>
    <w:p>
      <w:r>
        <w:rPr>
          <w:b/>
        </w:rPr>
        <w:t>E. 5</w:t>
      </w:r>
    </w:p>
    <w:p>
      <w:r>
        <w:t>Nachdem die Beschwerde teilweise gutzuheissen ist, rechtfertigt es sich, die Kosten zur Hälfte auf die Gerichtskasse zu nehmen und zur Hälfte dem Beschwerdegegner aufzuerlegen (§ 70 in Verbindung mit § 13 Abs. 2 VRG). Eine Parteientschädigung steht dem Beschwerdeführer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