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VB.2006.00002 vom 16. Januar 2006</w:t>
      </w:r>
    </w:p>
    <w:p>
      <w:r>
        <w:t>ZH Verwaltungsgericht, 2006-01-16, DE</w:t>
      </w:r>
    </w:p>
    <w:p>
      <w:r>
        <w:rPr>
          <w:b/>
        </w:rPr>
        <w:t xml:space="preserve">Quelle: </w:t>
      </w:r>
      <w:r>
        <w:t>https://mcp.opencaselaw.ch/entscheid/zh_verwaltungsgericht__VB.2006.00002</w:t>
      </w:r>
    </w:p>
    <w:p>
      <w:r>
        <w:t>FR: ZH_VERWALTUNGSGERICHT VB.2006.00002 du 16 janvier 2006</w:t>
      </w:r>
    </w:p>
    <w:p>
      <w:r>
        <w:t>IT: ZH_VERWALTUNGSGERICHT VB.2006.00002 del 16 gennaio 2006</w:t>
      </w:r>
    </w:p>
    <w:p>
      <w:pPr>
        <w:pStyle w:val="Heading2"/>
      </w:pPr>
      <w:r>
        <w:t>Regeste</w:t>
      </w:r>
    </w:p>
    <w:p>
      <w:r>
        <w:t>Probenahme und Erstellung eines DNA-Profils (Rekurs) | Instanzenzug bei Rechtsmitteln gegen die Erstellung von DNA-Profilen Bei Personen, gegenüber denen vor Inkrafttreten des DNA-Profil-Gesetzes u.a. eine freiheitsentziehende Massnahme angeordnet wurde, ist eine Probenahme zur Erstellung eines DNA-Profils (Wangenschleimhautabstrich) längstens bis ein Jahr nach Inkrafttreten des DNA-Profil-Gesetzes möglich. Über die Probenahme entscheidet die Oberstaatsanwaltschaft; dagegen ist der Rekurs an die Justizdirektion gegeben. - Während eines Strafverfahrens sind die Polizei, Untersuchungsbehörden und Strafgerichte zur Anordnung der nicht invasiven Probenahme und der Probenanalyse zuständig. - Das DNA-Profil-Gesetz regelt, wann DNA-Profile in Strafverfahren verwendet sowie in einem Informationssystem des Bundes bearbeitet werden können, und bezweckt insbesondere, die Effizienz der Strafverfolgung zu verbessern. Mit der Vereinheitlichung auf Bundesebene wurde ein Teil der noch zu schaffenden eidgenössischen Strafprozessordnung vorweggenommen (E. 2.1). Das Verwaltungsgericht kann auf dem Gebiet des Strafrechts i.w.S. sachlich nur zuständig sein für Straf- und Massnahmenvollzug (E. 2.2). Die Übergangsregelung des DNA-Profil-Gesetzes bildet kein Vollzugsrecht; der Sache nach handelt es sich um Strafprozess sowie Strafverfolgung. Auf die Beschwerde ist nicht einzutreten (E. 2.3). In einem Fall, der ein DNA-Profil noch vor Inkrafttreten des DNA-Profil-Gesetzes betraf, nahm das Bundesgericht eine staatsrechtliche Beschwerde wegen datenschutzrechtlicher Implikationen als Verwaltungsgerichtsbeschwerde entgegen. Aufgrund von Art. 98a Abs. 1 OG hat kantonsintern zunächst eine richterliche Behörde zu befinden. Dafür kommt wohl nur das Obergericht in Frage (E. 3). Kostenfolgen (E. 4). Nichteintreten und Weiterleitung an das Obergericht</w:t>
      </w:r>
    </w:p>
    <w:p>
      <w:pPr>
        <w:pStyle w:val="Heading2"/>
      </w:pPr>
      <w:r>
        <w:t>Erwägungen</w:t>
      </w:r>
    </w:p>
    <w:p>
      <w:r>
        <w:rPr>
          <w:b/>
        </w:rPr>
        <w:t>E. 4</w:t>
      </w:r>
    </w:p>
    <w:p>
      <w:r>
        <w:t>Die angefochtene Verfügung hat irrtümlich die Beschwerde beim Verwaltungsgericht als Rechtsmittel angegeben. Deshalb lassen sich die Gerichtskosten vorab nicht dem Beschwerdeführer belasten, geschweige denn der Beschwerdegegnerin. Ein Vorwurf trifft aber auch nicht die Vorinstanz, sodass diese zu Lasten der Staatskasse ebenso wenig kostenpflichtig erklärt werden darf. Mithin gilt es die Gerichtskosten auf die eigene Kasse zu nehmen (zum Ganzen VGr, 16. Januar 2006, VB.2006.00003, E. 3 und 3.1, www.vgrzh.ch, mit Hinweis).</w:t>
      </w:r>
    </w:p>
    <w:p>
      <w:r>
        <w:rPr>
          <w:b/>
        </w:rPr>
        <w:t>E. 5</w:t>
      </w:r>
    </w:p>
    <w:p>
      <w:r>
        <w:t>Sollte geltend gemacht werden wollen, willkürliche Handhabung kantonalen Verfahrensrechts beim vorliegenden Nichteintreten könnte die sonstige Anwendbarkeit von öffentlichem Recht des Bundes in der Sache vereiteln und zudem sei ein nicht wieder gutzumachender Nachteil abzuwenden, liesse sich gegen diesen Beschluss Verwaltungsgerichts­beschwerde beim Bundesgericht erheben (BGE 123 I 275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