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VB.2005.00451 vom 3. Mai 2006</w:t>
      </w:r>
    </w:p>
    <w:p>
      <w:r>
        <w:t>ZH Verwaltungsgericht, 2006-05-03, DE</w:t>
      </w:r>
    </w:p>
    <w:p>
      <w:r>
        <w:rPr>
          <w:b/>
        </w:rPr>
        <w:t xml:space="preserve">Quelle: </w:t>
      </w:r>
      <w:r>
        <w:t>https://mcp.opencaselaw.ch/entscheid/zh_verwaltungsgericht__VB.2005.00451</w:t>
      </w:r>
    </w:p>
    <w:p>
      <w:r>
        <w:t>FR: ZH_VERWALTUNGSGERICHT VB.2005.00451 du 3 mai 2006</w:t>
      </w:r>
    </w:p>
    <w:p>
      <w:r>
        <w:t>IT: ZH_VERWALTUNGSGERICHT VB.2005.00451 del 3 maggio 2006</w:t>
      </w:r>
    </w:p>
    <w:p>
      <w:pPr>
        <w:pStyle w:val="Heading2"/>
      </w:pPr>
      <w:r>
        <w:t>Regeste</w:t>
      </w:r>
    </w:p>
    <w:p>
      <w:r>
        <w:t>Wiederherstellung des rechtmässigen Zustandes | Der Beschwerdeführer hat auf seinem Grundstück ohne entsprechende Bewilligung Rodungen vorgenommen sowie den Boden mit zugeführtem Material überschüttet und planiert. Seine Beschwerde richtet sich gegen eine Verfügung des Amts für Landschaft und Natur, Abteilung Wald, mit der er verpflichtet wurde, alles zugeführte Material abzutragen und das ursprüngliche Terrain wiederherzustellen. Zuständigkeit (E. 1). Abweisung des Sistierungsbegehrens (E. 2). Der Beschwerdeführer lässt vorbringen, der zur Diskussion stehende Landstreifen diene landwirtschaftlichen Erschliessungszwecken (E. 3.1). Gemäss Art. 4 lit. a WaV gilt die Beanspruchung von Waldboden für forstliche Bauten und Anlagen sowie für nichtforstliche Kleinbauten und -anlagen nicht als Rodung. Das Bestandesgefüge des Waldes wird durch die neue Zufahrt zweifellos beeinträchtigt, weshalb sie nicht als nichtforstliche Kleinanlage qualifiziert werden kann (E. 3.2). Voraussetzungen für eine Rodungsbewilligung gemäss Art. 5 Abs. 2 WaG (E. 3.3). Das Erfordernis der relativen Standortgebundenheit gemäss Art. 5 Abs. 2 lit. a WaG ist vorliegend nicht erfüllt (E. 3.4). Keine Verletzung des rechtlichen Gehörs durch die Vorinstanz (E. 4.1). Da der massgebliche Sachverhalt bereits aufgrund der Akten feststeht und sich die Verhältnisse daher schlüssig klären lassen, braucht nicht näher auf die Beweisanträge eingegangen zu werden (E. 4.2). Kostenfolgen (E. 5). Abweisung</w:t>
      </w:r>
    </w:p>
    <w:p>
      <w:pPr>
        <w:pStyle w:val="Heading2"/>
      </w:pPr>
      <w:r>
        <w:t>Erwägungen</w:t>
      </w:r>
    </w:p>
    <w:p>
      <w:r>
        <w:rPr>
          <w:b/>
        </w:rPr>
        <w:t>E. 5</w:t>
      </w:r>
    </w:p>
    <w:p>
      <w:r>
        <w:t>Ausgangsgemäss sind die Kosten dem unterliegenden Beschwerdeführer aufzuerlegen (§ 70 in Verbindung mit § 13 Abs. 2 Satz 1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