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VB.2004.00542 vom 23. März 2005</w:t>
      </w:r>
    </w:p>
    <w:p>
      <w:r>
        <w:t>ZH Verwaltungsgericht, 2005-03-23, DE</w:t>
      </w:r>
    </w:p>
    <w:p>
      <w:r>
        <w:rPr>
          <w:b/>
        </w:rPr>
        <w:t xml:space="preserve">Quelle: </w:t>
      </w:r>
      <w:r>
        <w:t>https://mcp.opencaselaw.ch/entscheid/zh_verwaltungsgericht__VB.2004.00542</w:t>
      </w:r>
    </w:p>
    <w:p>
      <w:r>
        <w:t>FR: ZH_VERWALTUNGSGERICHT VB.2004.00542 du 23 mars 2005</w:t>
      </w:r>
    </w:p>
    <w:p>
      <w:r>
        <w:t>IT: ZH_VERWALTUNGSGERICHT VB.2004.00542 del 23 marzo 2005</w:t>
      </w:r>
    </w:p>
    <w:p>
      <w:pPr>
        <w:pStyle w:val="Heading2"/>
      </w:pPr>
      <w:r>
        <w:t>Regeste</w:t>
      </w:r>
    </w:p>
    <w:p>
      <w:r>
        <w:t>Aufenthaltsbewilligung | Rechtsanspruch auf Erteilung von Aufenthaltsbewilligungen für im Rahmen der "humanitären Aktion 2000" vorläufig aufgenommene Asylsuchende, deren Asylgesuche rechtskräftig abgewiesen wurden? Art. 13 lit. f der Begrenzungsverordnung (BVO) vermittelt keinen Rechtsanspruch auf Erteilung einer Aufenthaltsbewilligung. Zur Prüfung, ob die Voraussetzungen einer Härtefallbewilligung nach Art. 13 lit. f BVO vorliegen, ist das Verwaltungsgericht daher nicht zuständig. Ebenso wenig lässt sich aus dem Willkürverbot (Art. 9 BV) oder aus dem Rechtsgleichheitsgebot (Art. 8 BV) ein Rechtsanspruch auf eine fremdenpolizeiliche Bewilligung ableiten (E. 1+2). Auf die Achtung des Familienlebens kann sich grundsätzlich nur berufen, wer über ein gefestigtes Anwesenheitsrecht in der Schweiz verfügt (E. 3.1). Vom Erfordernis einer überdurchschnittlichen, besonderen Integration, wonach gegebenenfalls aus dem Recht auf Achtung des Privatlebens ein solches auf Anwesenheit abgeleitet werden kann, kann nur in spezifischen Ausnahmefällen abgesehen werden (E. 3.2). Nichteintreten</w:t>
      </w:r>
    </w:p>
    <w:p>
      <w:pPr>
        <w:pStyle w:val="Heading2"/>
      </w:pPr>
      <w:r>
        <w:t>Erwägungen</w:t>
      </w:r>
    </w:p>
    <w:p>
      <w:r>
        <w:rPr>
          <w:b/>
        </w:rPr>
        <w:t>E. 4</w:t>
      </w:r>
    </w:p>
    <w:p>
      <w:r>
        <w:t>Laut § 70 in Verbindung mit § 16 Abs. 1 VRG ist Privaten, denen die nötigen Mittel fehlen und deren Begehren nicht offensichtlich aussichtslos erscheint, auf entsprechendes Ersuchen hin die Bezahlung von Verfahrenskosten zu erlassen. Unter denselben Voraussetzungen haben sie überdies Anspruch auf Bestellung eines unentgeltlichen Rechtsbeistands, wenn sie nicht in der Lage sind, ihre Rechte im Verfahren selbst zu wahren (§ 16 Abs. 2 VRG). Aufgrund der vorstehenden Erwägungen muss die Beschwerde als offensichtlich aussichtslos bezeichnet werden. Das Gesuch um Gewährung der unentgeltlichen Prozessführung und Bestellung eines unentgeltlichen Rechtsbeistands ist somit abzuweisen.</w:t>
      </w:r>
    </w:p>
    <w:p>
      <w:r>
        <w:rPr>
          <w:b/>
        </w:rPr>
        <w:t>E. 5</w:t>
      </w:r>
    </w:p>
    <w:p>
      <w:r>
        <w:t>Ausgangsgemäss sind die Verfahrenskosten den Beschwerdeführenden, unter solidarischer Haftung füreinander, je zu 1/6 aufzuerlegen und besteht kein Anspruch auf Parteientschädigung (§ 70 in Verbindung mit § 13 Abs. 2 Satz 1 und § 14 VRG [vgl. dazu Alfred Kölz/Jürg Bosshart/Mar­tin Röhl, Kommentar zum Verwaltungsrechtspflegegesetz des Kantons Zürich, 2. A., Zürich 1999, § 14 N. 3]; § 17 Abs. 2 VRG).</w:t>
      </w:r>
    </w:p>
    <w:p>
      <w:r>
        <w:rPr>
          <w:b/>
        </w:rPr>
        <w:t>E. 6</w:t>
      </w:r>
    </w:p>
    <w:p>
      <w:r>
        <w:t>Indem die Kammer keinen Anwesenheitsanspruch angenommen hat, hat sie bereits die Frage verneint, ob sich eine Verwaltungsgerichtsbeschwerde beim Bundesgericht erheben lasse. Die Verletzung eines behaupteten Anspruchs müsste trotzdem im Verfahren der Verwaltungsgerichtsbeschwerde moniert werden (BGE 127 II 161 E. 1b; siehe ferner E. 3b hinsichtlich der Rüge, der vorangegangene kantonale Sachentscheid habe Verfahrensgarantien missachtet).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