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VB.2004.00480 vom 9. März 2005</w:t>
      </w:r>
    </w:p>
    <w:p>
      <w:r>
        <w:t>ZH Verwaltungsgericht, 2005-03-09, DE</w:t>
      </w:r>
    </w:p>
    <w:p>
      <w:r>
        <w:rPr>
          <w:b/>
        </w:rPr>
        <w:t xml:space="preserve">Quelle: </w:t>
      </w:r>
      <w:r>
        <w:t>https://mcp.opencaselaw.ch/entscheid/zh_verwaltungsgericht__VB.2004.00480</w:t>
      </w:r>
    </w:p>
    <w:p>
      <w:r>
        <w:t>FR: ZH_VERWALTUNGSGERICHT VB.2004.00480 du 9 mars 2005</w:t>
      </w:r>
    </w:p>
    <w:p>
      <w:r>
        <w:t>IT: ZH_VERWALTUNGSGERICHT VB.2004.00480 del 9 marzo 2005</w:t>
      </w:r>
    </w:p>
    <w:p>
      <w:pPr>
        <w:pStyle w:val="Heading2"/>
      </w:pPr>
      <w:r>
        <w:t>Regeste</w:t>
      </w:r>
    </w:p>
    <w:p>
      <w:r>
        <w:t>Baubewilligung | Mobilfunkanlage (GSM): Verfahrensfehler durch die Vorinstanz? Übermässige materielle und ideelle Immissionen? Rechtsverletzende Spruchgebühr und Umtriebsentschädigung? Der Verzicht auf Durchführung eines Augenscheins ist nicht rechtsverletzend (E. 2.1). Mit dem Verzicht auf Beizug des Abdeckungsplans und der Beurteilung der Immissionsbelastung ausschliesslich anhand der Berechnungen im Standortdatenblatt hat die Vorinstanz den Sachverhalt nicht ungenügend abgeklärt (E. 2.2). Materielle Immissionen: Da sich eine rein rechnerische Prognose der Mobilfunkstrahlung vor der Inbetriebnahme der Anlage als rechtsbeständig erweist, kann auf die im Standortdatenblatt ausgewiesenen Belastungen der OMEN abgestellt werden (E. 3.1.1). Bei Strahlenbelastungen unter 80 % des Anlagegrenzwerts liegen Kontrollmessungen im Ermessen der Behörden. Das gilt auch für allfällige stichprobenartige Kontrollmessungen (E. 3.1.2). Die NISV regelt die Emissionsbegrenzung im Rahmen der Vorsorge abschliessend (E. 3.1.3). Ideelle Immissionen: Das Baupolizeirecht bietet vor ideellen Immissionen grundsätzlich keinen Schutz (E. 3.2). Die vorinstanzliche Bemessung der Spruchgebühr sowie der Umtriebsentschädigung ist nicht rechtsverletzend (E.4). Abweisung.</w:t>
      </w:r>
    </w:p>
    <w:p>
      <w:pPr>
        <w:pStyle w:val="Heading2"/>
      </w:pPr>
      <w:r>
        <w:t>Erwägungen</w:t>
      </w:r>
    </w:p>
    <w:p>
      <w:r>
        <w:rPr>
          <w:b/>
        </w:rPr>
        <w:t>E. 1</w:t>
      </w:r>
    </w:p>
    <w:p>
      <w:r>
        <w:t>Die Beschwerdeführenden sind Bewohner, Benützer oder Eigentümer von Liegenschaften in der Nähe des Baugrundstücks. Damit sind sie von der angefochtenen Baubewilligung mehr als irgendwelche Dritte oder die Allgemeinheit in ihren eigenen tatsächlichen oder rechtlichen Interessen betroffen und daher zur Beschwerde legitimiert. Auf die form- und fristgerechte Beschwerde ist deshalb einzutreten.</w:t>
      </w:r>
    </w:p>
    <w:p>
      <w:r>
        <w:rPr>
          <w:b/>
        </w:rPr>
        <w:t>E. 2.1</w:t>
      </w:r>
    </w:p>
    <w:p>
      <w:r>
        <w:t>Die Beschwerdeführenden machen in verfahrensrechtlicher Hinsicht vorab geltend, dass die Vorinstanz ihnen das rechtliche Gehör verweigert habe, indem ihrem Antrag auf Durchführung eines Augenscheins mit Bezug auf die als ungenügend gerügte Einordnung im Sinn von § 238 Abs. 1 PBG nicht entsprochen worden sei. – Die Baurekurskommission hat den Antrag explizit mit der Begründung abgelehnt, dass sich die tatsächlichen Verhältnisse aufgrund der Akten hinreichend hätten beurteilen lassen. Der verfassungsrechtliche Anspruch auf rechtliches Gehör nach Art. 29 Abs. 2 der Bundesverfassung vom 18. April 1999 räumt den Verfahrensbeteiligten das Recht ein, Beweismassnahmen zu beantragen und verpflichtet die Behörden, rechtzeitig und formgerecht angebotene Beweismittel zu behaupteten rechtserheblichen Tatsachen auch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E. 4.1, www.bger.ch; BGE 124 I 208 E. 4a S. 211 und 124 I 241 E. 2 S. 242, mit Hinweisen).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Ob eine Besichtigung der Örtlichkeiten vorgenommen werden muss, hängt einerseits vom konkreten Projekt und anderseits von den dagegen erhobenen Rügen ab. Gewöhnlich lässt sich die Würdigung der rechtsgenügenden ästhetischen Gestaltung einer Baute oder Anlage nur nach einer Besichtigung des betroffenen Areals vornehmen. Im vorliegenden Fall ist zu berücksichtigen, dass grosse Teile der Antennenanlage im Dachgeschoss der Liegenschaft ZZ-Strasse untergebracht und lediglich die beiden 1,8 m hohen Antennenmasten mit den Sendeelementen sichtbar sein werden. Von Letzteren geht indessen kaum eine gestalterische Wirkung aus, und sie werden – soweit sie überhaupt wahrgenommen werden – wie andere Infrastruktureinrichtungen (Lampenkandelaber, Leitungsmasten etc.) von einem durchschnittlichen Betrachter als notwendiges Übel hingenommen. Weist zudem das bauliche Umfeld wie hier keine nennenswerten Besonderheiten auf (Nähe zu Schutzobjekten, Errichtung in Kernzone etc.), herrschen Verhältnisse, die sich unter Rückgriff auf die grosse Erfahrung der Vorinstanz mit Mobilfunkanlagen beurteilen lassen, weshalb deren Verzicht auf Durchführung eines Augenscheins nicht rechtsverletzend ist (vgl. VGr, 21. Oktober 1998, BEZ 1998 Nr. 21 E. 5b).</w:t>
      </w:r>
    </w:p>
    <w:p>
      <w:r>
        <w:rPr>
          <w:b/>
        </w:rPr>
        <w:t>E. 2.2</w:t>
      </w:r>
    </w:p>
    <w:p>
      <w:r>
        <w:t>Sodann wird in zwei Punkten eine ungenügende Sachverhaltsermittlung gerügt. Die Vorinstanz habe zu Unrecht auf den Beizug des Abdeckungsplans verzichtet und nicht berücksichtigt, dass sich die Antennenanlage inmitten eines Häusermeers befinde, was zu Reflexionen und Beugungen der Strahlen führe.</w:t>
      </w:r>
    </w:p>
    <w:p>
      <w:r>
        <w:rPr>
          <w:b/>
        </w:rPr>
        <w:t>E. 2.2.1</w:t>
      </w:r>
    </w:p>
    <w:p>
      <w:r>
        <w:t>Die Beschwerdeführenden sind der Ansicht, dass der Abdeckungsplan – auf welchem für ein bestimmtes Gebiet farblich abgestuft die unterschiedlichen Empfangsleistungen kenntlich gemacht werden – beizuziehen ist, damit im Rahmen der zwischen den widerstreitenden öffentlichen und privaten Interessen vorzunehmenden Abwägung die Frage von Alternativstandorten geprüft werden könne, wie das für solche Anlagen ausserhalb der Bauzone auch der Fall sei. Aufgrund der weit reichenden Auswirkungen der Mobilfunkanlage genüge der blosse Hinweis auf den Anspruch der Bauherrschaft auf Erhalt einer entsprechenden Baubewilligung nicht. Eine Mobilfunknetzbetreiberin wie die private Beschwerdegegnerin verfüge im Gegensatz zu gewöhnlichen Bauwilligen über eine Vielzahl von möglichen Standorten für ihre Anlagen. Eine Interessenabwägung ist nach eidgenössischem Raumplanungsrecht geboten, wenn eine Mobilfunkanlage ausserhalb der Bauzonen errichtet werden soll. Im vorliegenden Fall handelt es sich dagegen um eine Anlage, die innerhalb der Bauzone errichtet werden soll. Die Voraussetzungen für eine solche Bewilligung richten sich nach Bundesumweltrecht sowie nach kantonalem Baurecht. Gemäss § 320 PBG ist die Bewilligung zu erteilen, wenn das Bauvorhaben den Vorschriften dieses Gesetzes und der ausführenden Verordnungen entspricht. Damit besteht grundsätzlich ein Anspruch auf Erteilung der Baubewilligung, wenn das Projekt den massgebenden Bauvorschriften entspricht. Die Beschwerdeführenden legen nicht dar, aus welcher Bestimmung des kantonalen Baurechts sich eine Verpflichtung zur Interessenabwägung unter Berücksichtigung des Bedürfnisses für die neue Antennenanlage ergeben soll. Allein mit den Auswirkungen der geplanten Anlage lässt sich dies nicht begründen. Für eine Überprüfung der Gründe, welche die private Beschwerdegegnerin zum Bau genau an dieser Stelle veranlassen, bleibt bei zonenkonformen Bauten innerhalb der Bauzone kein Raum (BGr, 4. November 2004, 1A.136/2003, E. 4.3, www.bger.ch). Deshalb ist in diesen Fällen weder eine Interessenabwägung noch ein Nachweis von Alternativstandorten erforderlich, wie die Beschwerdeführenden meinen. Auf den Beizug des Abdeckungsplans konnte die Vorinstanz somit verzichten.</w:t>
      </w:r>
    </w:p>
    <w:p>
      <w:r>
        <w:rPr>
          <w:b/>
        </w:rPr>
        <w:t>E. 2.2.2</w:t>
      </w:r>
    </w:p>
    <w:p>
      <w:r>
        <w:t>Die Beschwerdeführenden bringen sodann vor, für die Beurteilung der Immissionsbelastungen der empfindlichen Standorte sei lediglich auf die Berechnungen im Standortdatenblatt abgestellt worden. Diese Werte seien jedoch lediglich theoretischer Natur, da sie die Bedingungen auf freiem Feld widerspiegeln und nicht die tatsächlichen Bedingungen darstellen würden. Im konkreten Fall stehe die Antenne im überbauten Gebiet, was dazu führe, dass die Strahlen reflektiert und gebeugt würden. Die Ausführungen der Vorinstanz, dass allfällige Strahlenreflexionen durch das "Worst Case"-Szenario kompensiert würden, seien nicht näher begründet und auch nicht näher begründbar, weil die Immissionsbeurteilung unter reinen Laborbedingungen erfolgt sei. Dies stelle eine ungenügende Sachverhaltsermittlung dar. Ist – wie im vorliegenden Fall – die Mobilfunkanlage noch nicht errichtet und in Betrieb genommen worden, kann die Einhaltung der Immissions- und der Anlagegrenzwerte nicht gemessen werden, sondern sie wird berechnet. Grundlage der Berechnung ist das vom Inhaber der geplanten Anlage gemäss Art. 11 der Verordnung vom 23. Dezember 1999 über den Schutz vor nichtionisierender Strahlung (NISV) eingereichte Standortdatenblatt, das die für die Erzeugung von Strahlung massgeblichen technischen und betrieblichen Daten der Anlage enthält, den massgebenden Betriebszustand sowie Angaben über die von der Anlage erzeugte Strahlung an den nach der Verordnung massgeblichen Orten. Die am 28. Juni 2002 vom Bundesamt für Umwelt, Wald und Landschaft (BUWAL) veröffentlichte Vollzugsempfehlung zur NISV für Mobilfunk- und WLL-Basisstationen (Vollzugsempfehlung) enthält eine Berechnungsmethode für die Prognose der Mobilfunkstrahlung, welche bewusst auf die Einführung eines Korrekturfaktors und einer Verbreiterung des Antennendiagramms verzichtet (Vollzugsempfehlung, Ziff. 2.3.1). Stattdessen wird empfohlen, eine Abnahmeprüfung durchzuführen, wenn gemäss rechnerischer Prognose der Anlagegrenzwert an einem Ort mit empfindlicher Nutzung zu 80 % erreicht wird (Vollzugsempfehlung, Ziff. 2.1.8). Das Bundesgericht sah bisher und auch im Zusammenhang mit der Frage von Reflexionen keinen Anlass, von den Empfehlungen des BUWAL, der Umweltschutz-Fachbehörde des Bundes, abzuweichen. Für die Berechnung der an den Orten mit empfindlicher Nutzung zu erwartenden nichtionisierenden Strahlung ist deshalb auf die in der Vollzugsempfehlung vorgesehene und praktizierte Berechnungsmethode abzustellen (BGr, 10. September 2002, 1A.194/2001, E. 3.3, www.bger.ch = URP 2002, S. 780; 12. August 2003, 1A.148/2002, E. 4.3, www.bger.ch). Es bestand demnach auch für die Baurekurskommission kein Anlass, zur Ermittlung der Immissionswerte weitere Abklärungen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