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VB.2004.00343 vom 23. Dezember 2004</w:t>
      </w:r>
    </w:p>
    <w:p>
      <w:r>
        <w:t>ZH Verwaltungsgericht, 2004-12-23, DE</w:t>
      </w:r>
    </w:p>
    <w:p>
      <w:r>
        <w:rPr>
          <w:b/>
        </w:rPr>
        <w:t xml:space="preserve">Quelle: </w:t>
      </w:r>
      <w:r>
        <w:t>https://mcp.opencaselaw.ch/entscheid/zh_verwaltungsgericht__VB.2004.00343</w:t>
      </w:r>
    </w:p>
    <w:p>
      <w:r>
        <w:t>FR: ZH_VERWALTUNGSGERICHT VB.2004.00343 du 23 décembre 2004</w:t>
      </w:r>
    </w:p>
    <w:p>
      <w:r>
        <w:t>IT: ZH_VERWALTUNGSGERICHT VB.2004.00343 del 23 dicembre 2004</w:t>
      </w:r>
    </w:p>
    <w:p>
      <w:pPr>
        <w:pStyle w:val="Heading2"/>
      </w:pPr>
      <w:r>
        <w:t>Regeste</w:t>
      </w:r>
    </w:p>
    <w:p>
      <w:r>
        <w:t>Abwasserentsorgung | Kostenverlegung für die Sanierung privater Kanalisations- und Wasserleitungen: Zuständigkeit des Verwaltungsgerichts ist prinzipiell gegeben (E.1.1). Die Gemeinde ist zur Beschwerde legitimiert, wenn es um die Verlegung von Kosten für die Sanierung einer privaten Kanalisationsleitung geht (E.1.2 und E.1.3). Der Bezirksrat hat seine Zuständigkeit zu Recht bejaht (E.2). Der Einwand der Beschwerdegegnerinnen, dass auch ein weiterer Grundeigentümer in den Kostenverleger hätte einbezogen müssen, hätten sie mit eigener Beschwerde anfechten müssen, weshalb sich das Verwaltungsgericht mit diesem Einwand nicht auseinander zu setzen hat (E.3). Einzig zum Zweck, die Kosten für die Sanierung einer privaten Versorgungs- oder Entsorgungsleitung zu verlegen, bedarf es keines Quartierplanverfahrens nach § 123 ff. PBG (E.4). Der Bezirksrat hat die Lösung der beschwerdeführenden Gemeinde, die Kosten für die Sanierung privater Kanalisations- und Wasserleitungen gemäss den Quartierplangrundsätzen, also nach Perimeterflächen, zu verlegen, aufgehoben (E.5.1). Es war rechtsverletzend, dass der Bezirksrat die von der Beschwerdeführerin gewählte Methode unter Hinweis auf das Verursacherprinzip verworfen hat. Bei der Verlegung der Sanierungskosten kommt der Gemeinde nämlich ein erheblicher Ermessensspielraum zu. Der Bezirksrat hat sein Ermessen zu Unrecht an die Stelle des Ermessens der Gemeindebehörde gesetzt (E.5.2). Gutheissung der Beschwerde und Kostenfolge (E. 6). Vgl. auch VB.2004.00273.</w:t>
      </w:r>
    </w:p>
    <w:p>
      <w:pPr>
        <w:pStyle w:val="Heading2"/>
      </w:pPr>
      <w:r>
        <w:t>Erwägungen</w:t>
      </w:r>
    </w:p>
    <w:p>
      <w:r>
        <w:rPr>
          <w:b/>
        </w:rPr>
        <w:t>E. 3</w:t>
      </w:r>
    </w:p>
    <w:p>
      <w:r>
        <w:t>Die Beschwerdegegnerinnen erneuern ihren im Rekurs erhobenen Einwand, wonach der Grundeigentümer Q mit seinen beiden Parzellen Kat.-Nrn. 3 und 4 in den Kostenverleger hätte einbezogen werden müssen. Mit diesem Einwand hat sich der Bezirksrat auseinander gesetzt und ihn verworfen mit der Begründung, die beiden Grundstücke seien unbestrittenermassen nicht an die zu sanierende Kanalisation angeschlossen (Rekursentscheid E. 3c). Hätten sich die Rekurrentinnen mit dieser Beurteilung nicht abfinden wollen, so hätten sie gegen den Rekursentscheid eine eigene Beschwerde erheben müssen, was ungeachtet dessen zulässig gewesen wäre, dass mit diesem Rekursentscheid die Sache zur Neubeurteilung an die Gemeinde X zurückgewiesen wurde. Ihre heute vertretene Auffassung, sie seien durch den Rekursentscheid (auch insoweit) nicht beschwert gewesen, trifft nicht zu. Das Verwaltungsgericht hat daher keinen Anlass, sich mit diesem Einwand auseinander zu setzen, zumal in der Beschwerdeantwort nicht dargelegt wird, weshalb der Rekursentscheid in dieser Hinsicht rechtsverletzend sein soll.</w:t>
      </w:r>
    </w:p>
    <w:p>
      <w:r>
        <w:rPr>
          <w:b/>
        </w:rPr>
        <w:t>E. 4</w:t>
      </w:r>
    </w:p>
    <w:p>
      <w:r>
        <w:t>Die Beschwerdegegnerinnen erneuern ferner ihren Einwand, es hätte zwecks Kostenverlegung ein Quartierplanverfahren durchgeführt werden müssen. Auch dies jedoch nur für den Fall, dass der materiellen Beurteilung durch den Bezirksrat, wonach die Sanierungskosten entgegen der angefochtenen Verfügung vom 8. Oktober 2003 nicht nach Quartierplangrundsätzen verlegt werden dürfen, nicht beigetreten werde. Diesbezüglich waren die Beschwerdegegnerinnen durch den Rekursentscheid in der Tat nicht beschwert, weil der Bezirksrat diesen Einwand nicht behandelt hat. Der Einwand ist unbegründet. Einzig zum Zweck, die Kosten für die Sanierung einer privaten Versorgungs- oder Entsorgungsleitung zu verlegen, bedarf es keines Quartierplanverfahrens nach § 123 ff. PBG. Gemäss § 123 Abs. 1 PBG ermöglicht der Quartierplan im erfassten Gebiet eine der planungs- und baurechtlichen Ordnung entsprechende Nutzung und enthält die dafür nötigen Anordnungen. Wohl kommt dieses Rechtsinstitut auch dann zum Zug, wenn zur Erreichung des gesetzlich umschriebenen Zwecks keine umfassende Regelung erforderlich ist, sodass sich der Quartierplan auf die notwendigen Teilmassnahmen beschränkt. Die Verlegung der Kosten für die Sanierung einer privaten Kanalisationsleitung erfordert jedoch auch keinen derartigen Teilquartierplan, ansonsten der Anwendungsbereich dieses Institutes in sachwidriger Weise auf Situationen ausgedehnt würde, auf welche die gesetzliche Regelung nicht ausgerichtet ist. Soweit für die Verlegung solcher Sanierungskosten überhaupt ein öffentlichrechtliches Verfahren erforderlich ist, was hier aufgrund der anwendbaren Bestimmungen des kantonalen und kommunalen Rechts – insbesondere des Einführungsgesetzes zum Gewässerschutzgesetz vom 8. Dezember 1974 (EG GschG, LS 711.1) sowie der kommunalen SEVO – zutrifft, hat die Festsetzung durch eine Verfügung zu erfolgen, wie das hier geschehen ist. Auch wenn es sich bei dem dieser Verfügung vorangehenden Verfahren nicht um ein Quartierplanverfahren handelt, sind darin gewisse Verfahrensgrundsätze, wie etwa das rechtliche Gehör, zu beachten. Die Verfügung über die Kostenverlegung kann sodann in gleicher Weise wie ein Quartierplanfestsetzungsbeschluss mit Rekurs (allerdings nicht an die Baurekurskommission, sondern an den Bezirksrat) und hernach mit Beschwerde beim Verwaltungsgericht angefochten werden, weshalb auch insoweit der Rechtsschutz gewährleistet ist. Ein Quartierplanverfahren ist dabei selbst dann nicht erforderlich, wenn die Sanierungskosten in Anlehnung an gewisse quartierplanrechtliche Bestimmungen, insbesondere § 146 PBG, und damit nach "Quartierplangrundsätzen" verlegt werden. Sofern diese Art der Verlegung zulässig ist (was hier gerade Gegenstand der materiellen Beurteilung bildet), handelt es sich lediglich um eine analoge Anwendung solcher Bestimmungen.</w:t>
      </w:r>
    </w:p>
    <w:p>
      <w:r>
        <w:rPr>
          <w:b/>
        </w:rPr>
        <w:t>E. 5.1</w:t>
      </w:r>
    </w:p>
    <w:p>
      <w:r>
        <w:t>Die Beschwerdeführerin will ihre in der Verfügung vom 8. Oktober 2003 festgesetzte Kostenverlegung wieder hergestellt haben. Danach wurden die Gesamtkosten von Fr. 172'335.95 "gemäss den Quartierplangrundsätzen" entsprechend den Flächen der einbezogenen sechs Grundstücke so verlegt, dass Parzellenteile bis zu einer Erschliessungstiefe von 30 m zu 100 % sowie Parzellenteile im Bereich über 30 m zu 50 % belastet wurden. Für die Parzelle Kat.-Nr. 2 der heutigen Beschwerdegegnerinnen mit einer Gesamtfläche von 3'923 m 2 (wovon 1'768 m 2 zu 100 % und 2'155 m 2 zu 50 % belastet) ergab sich ein Kostenanteil von 49,22 % = Fr. 84'823.75. Der Bezirksrat Y hat diese Lösung in Gutheissung des Rekurses der heutigen Beschwerdegegnerinnen verworfen, im Wesentlichen aus den Erwägungen, die Sanierung sei im Sinn einer antizipierten Ersatzvornahme durchgeführt worden, weshalb deren Kosten nach den Grundsätzen des Polizei- und des Vollstreckungsrechts verlegt werden müssten; für die Anwendung quartierplanrechtlicher Grundsätze bleibe dabei kein Raum. Als Instrument des Planungs- und Baurechts befasse sich der Quartierplan weder mit Vollstreckungs- noch mit Polizeirecht. Die beteiligten Grundeigentümer hafteten vielmehr als Störer nach ihrem Anteil an der Verursachung des polizeiwidrigen Zustands. Dem werde der in Disp.-Ziff. 4 der Verfügung vom 8. Oktober 2003 gewählte Verteiler, der gemäss Quartierplangrundsätzen auf die Grundstückflächen innerhalb und ausserhalb der ersten Erschliessungstiefe abstelle, nicht gerecht. Gestützt auf diese Erwägungen wies der Bezirksrat die Streitsache an die Beschwerdeführerin zurück und wies diese an, die Kostenbeiträge der heutigen Beschwerdegegnerinnen (und wohl auch der weiteren fünf Adressaten der Verfügung vom 8. Oktober 2003) an die Sanierung der Abwasserleitung in Würdigung ihrer Verursacheranteile festzulegen (Rekursentscheid E. 3b sowie Disp.-Ziffn. I und II).</w:t>
      </w:r>
    </w:p>
    <w:p>
      <w:r>
        <w:rPr>
          <w:b/>
        </w:rPr>
        <w:t>E. 5.2</w:t>
      </w:r>
    </w:p>
    <w:p>
      <w:r>
        <w:t>Wenn die Beschwerdeführerin die Sanierung der privaten Kanalisationsleitung in der Form einer Ersatzvornahme im Sinn von § 30 Abs. 1 lit. b VRG angeordnet und durchgeführt hat, so war dies angesichts dessen, dass ein gemeinsames Vorgehen der Eigentümer der angeschlossenen Liegenschaften nicht zu Stande kam und ein längeres Zuwarten wegen der Gefahr einer Gewässerverschmutzung vermieden werden musste, zulässig (vgl. auch das ebenfalls heute ergangene Urteil VGr, 23. Dezember 2003, VB.2004.00273, www.vgrzh.ch). Die Beschwerdegegnerinnen bestreiten dies denn auch nicht. Nach Auffassung des Bezirksrats muss dieses auch von ihm als zulässig befundene Vorgehen jedoch zwingend zur Folge haben, dass die Sanierungskosten nach den Grundsätzen des Polizei- und des Vollstreckungsrechts zu verlegen seien. Der Bezirksrat hat diese Grundsätze im Wesentlichen zutreffend dargelegt (vgl. René Rhinow/Beat Krähenmann, Schweizerische Verwaltungsrechtsprechung, Ergänzungsband, Basel/Frankfurt a.M. 1990, Nr. 52 B VII und Nr. 135 B III; Kölz/Bosshart/Röhl, Vorbem. zu §§ 29-31 N. 6, § 30 N. 23 f.). Der Bezirksrat hat indessen verkannt, dass das Verursacherprinzip, an das auch der polizeirechtliche Begriff des Störers anknüpft, im vorliegenden Fall keine unmittelbare Entscheidungsgrundlage liefert. Wird nämlich dieses Prinzip auf den sanierungsbedürftigen Zustand der Leitung vor der Sanierung bezogen, lassen sich hieraus von vornherein keine Verursacheranteile der einzelnen angeschlossenen Liegenschaften ableiten. Wird das Prinzip hingegen unmittelbar auf die an die Leitung angeschlossenen und deswegen in den Kostenverleger einbezogenen Liegenschaften bezogen (wovon der Bezirksrat auszugehen scheint), so geht es letztlich nicht mehr darum, in welchem Umfang die einzelnen Liegenschaften die Kosten "verursacht" haben, sondern darum, in welchem Umfang sie aus der Kanalisationsleitung bzw. aus der Sanierung dieser Leitung Nutzen ziehen. Insofern liegt eine durchaus vergleichbare Situation mit der in Quartierplanverfahren vorzunehmenden Verlegung der Kosten der Erschliessungsanlagen vor, wo dieses Kriterium die massgebende Bemessungsgrundlage bildet (§ 146 Abs. 2 PBG). Von daher gesehen erscheint es nicht sachgemäss, ja sogar rechtsverletzend, wenn die Rekursinstanz die von der Beschwerdeführerin gewählte Methode (Verlegung nach Perimeterflächen) unter Hinweis auf das Verursacherprinzip bzw. den daran anknüpfenden polizeirechtlichen Störerbegriff von vornherein verworfen hat. Damit ist zugleich gesagt, dass die von der Beschwerdeführerin gewählte Kostenverlegung nach Perimeterflächen nicht von vornherein als unsachgemässe Lösung ausscheidet; vielmehr kommt sie zumindest neben anderen, ebenfalls sachgemässen Verlegungsmethoden in Betracht. Dies entgegen der Auffassung der Beschwerdegegnerinnen, welche die von der Beschwerdeführerin gewählte Methode der Kostenverlegung mit dem Bezirksrat als unsachgemäss bezeichnen, wobei sie dies anders als der Bezirksrat nicht in erster Linie mit der Missachtung der Grundsätze des Polizei- und Vollstreckungsrechts, sondern damit begründen, die Grundsätze des Quartierplanrechts dürften bei einer Sanierung anders als bei der erstmaligen Erschliessung von vornherein nicht zur Anwendung kommen (vgl. nebst der Rekursschrift, der Rekursreplik und der Beschwerdeantwort auch die der Verlegungsverfügung vom 8. Oktober 2003 vorangegangenen Schreiben vom 8. Januar 2003, 1. April 2003, 14. April 2003 und 10. Juni 2003). Im vorliegenden Fall sind bereits vor Anordnung der Sanierung drei Varianten der Kostenverlegung in Betracht gezogen worden (vgl. Zustandsanalyse Privatkanalisation S-Weg vom 4. Juni 2002), nämlich erstens eine gleichmässige Verlegung nach der Zahl der einbezogenen Liegenschaften (damals noch acht, später nach Ausscheiden der Parzellen Kat.-Nrn. 3 und 4 noch sechs), zweitens eine Verlegung nach den effektiv genutzten Leitungslängen sowie drittens eine Verlegung "nach Quartierplangrundsätzen", das heisst nach Perimeterflächen. Bei der Verlegung der Sanierungskosten kommt der Gemeinde ein erheblicher Ermessensspielraum zu, dies auch dann, wenn davon ausgegangen wird, dass es bei der streitbetroffenen Verlegung nicht in erster Linie um die Anwendung kommunalen Rechts geht. Auch insoweit ist die hier vorzunehmende Kostenverlegung durchaus vergleichbar mit dem Ermessen, das der Gemeinde als Planungsträger in Quartierplanverfahren beim Bemühen, einen Interessenausgleich unter den kontroversen Anliegen der beteiligten Grundeigentümer zu finden, insbesondere auch bei der Verlegung der Erstellungskosten nach § 146 PBG, zukommt (vgl. dazu Kölz/Bosshart/Röhl, § 50 N. 83; RB 1985 Nr. 90; VGr, 20. November 1991, BEZ 1992 Nr. 2; VGr, 5. Februar 2004, VB.2003.00331 E. 6.3, www.vgrzh.ch). Der Rekursbehörde steht zwar neben der Rechtskontrolle auch eine Ermessenskontrolle zu (§ 20 VRG); die von der Gemeinde getroffene Festlegung soll aber im Rekursverfahren nur dann wieder abgeändert werden, wenn sich bei der Abwägung aller Vor- und Nachteile der Schluss aufdrängt, dass die vom Rekurrenten verfochtene Lösung der von der Gemeinde getroffenen Festlegung klar überlegen sei. Ein solcher Schluss drängt sich im vorliegenden Fall nicht auf. Wie erwähnt erscheint es durchaus plausibel, auf den Nutzen abzustellen, der sich für die beteiligten Grundstücke aus der Sanierung ergibt, und erweist sich von da her eine Verlegung nach Perimeterflächen als sachgemässe Methode. Sie ist den übrigen in Betracht gezogenen Methoden (nebst den in der Zustandsanalyse angeführten übrigen Kriterien der beteiligten Liegenschaften und der effektiv benutzten Leitungslängen auch die von der Vorinstanz und der Beschwerdegegnerschaft zur Diskussion gestellten Anknüpfungen an die Ausnützungsziffer oder den Wasserverbrauch bzw. das Abwasservolumen) zumindest ebenbürtig. Der Bezirksrat hätte daher die von der Beschwerdeführerin gewählte Verlegungsmethode nicht zu Gunsten einer anderen (konkret noch nicht bestimmten) Verlegungsart verwerfen dürfen; damit hat er in unzulässiger Weise sein Ermessen an die Stelle des Ermessens der Gemeindebehörde gesetzt. Es lässt sich auch nicht einwenden, die gewählte Methode sei schon deswegen rechtsverletzend, weil sie für die Beschwerdegegnerinnen zu einer unzumutbaren Kostenbelastung führe. Wohl haben sie aufgrund des Ausmasses ihrer Parzelle Kat.-Nr. 2 von 3'923 m 2 nebst I, auf dessen Parzelle Kat.-Nr. 1 mit einer Gesamtfläche von 1'142 m 2 ein Anteil von 19,74 % entfällt (vgl. VB.2004.00273), mit einem Anteil von 49,22 % den grössten Teil der Kosten von insgesamt Fr. 172'334.- zu tragen. Wie die Beschwerdeführerin indessen zu Recht geltend macht, wird damit in zulässiger Weise auch einem möglichen künftigen Nutzen auf dem heute nicht voll ausgenützten, in der Wohnzone W2B liegenden Grundstück Rechnung getragen. Entgegen der Auffassung der Beschwerdegegnerinnen kann in dieser Argumentation auch nicht eine unzulässige neue Tatsachenbehauptung im Sinn von § 52 Abs. 2 VRG erblickt werden. Zum einen hat der Bezirksrat nicht als gerichtliche Vorinstanz entschieden, und zum anderen ergänzt das genannte Argument nicht den Sachverhalt, sondern den schon bisher von der Beschwerdeführerin eingenommenen Rechtsstandpunkt, wonach die von ihr angeordnete Kostenverlegung rechtmässig sei. Diesem Standpunkt ist nach dem Gesagten beizutreten.</w:t>
      </w:r>
    </w:p>
    <w:p>
      <w:r>
        <w:rPr>
          <w:b/>
        </w:rPr>
        <w:t>E. 6</w:t>
      </w:r>
    </w:p>
    <w:p>
      <w:r>
        <w:t>Demnach ist die Beschwerde gutzuheissen. Der Rekursentscheid des Bezirksrats Y vom 22. Juni 2004 ist aufzuheben. Die Verfügung der Beschwerdeführerin vom 8. Oktober 2003 ist wieder herzustellen. Die Kosten des Rekursverfahrens sind den Beschwerdegegnerinnen zu je einem Drittel, unter solidarischer Haftung einer jeden für den restlichen Betrag, aufzuerlegen (§ 13 Abs. 2 VRG). Der Streitwert entspricht nicht dem vollen Sanierungskostenanteil der Beschwerdegegnerinnen von Fr. 84'823.- und ist aufgrund des aufzuhebenden Rückweisungsentscheids des Bezirksrats gar nicht genau bestimmbar; als angemessen erweist sich eine Gerichtsgebühr von Fr. 4'000.-. Die Gerichtskosten sind in gleicher Weise wie die Rekurskosten zu verlegen. Den Beschwerdegegnerinnen sowie dem Mitbeteiligten 3 als Unterliegende steht eine Parteientschädigung nach § 17 Abs. 2 VRG von vornherein nicht zu. Eine solche Entschädigung zulasten der Beschwerdegegnerinnen ist jedoch der Beschwerdeführerin zuzusprechen, war doch die Beschwerdeführung für sie mit einem erheblichen Aufwand verbunden (vgl. Kölz/Bosshart/Röhl, § 17 N. 19); als angemessen erweist sich ein Betrag von insgesamt Fr. 1'000.-.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