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VB.2004.00280 vom 26. Februar 1998</w:t>
      </w:r>
    </w:p>
    <w:p>
      <w:r>
        <w:t>ZH Verwaltungsgericht, 1998-02-26, DE</w:t>
      </w:r>
    </w:p>
    <w:p>
      <w:r>
        <w:rPr>
          <w:b/>
        </w:rPr>
        <w:t xml:space="preserve">Quelle: </w:t>
      </w:r>
      <w:r>
        <w:t>https://mcp.opencaselaw.ch/entscheid/zh_verwaltungsgericht__VB.2004.00280</w:t>
      </w:r>
    </w:p>
    <w:p>
      <w:r>
        <w:t>FR: ZH_VERWALTUNGSGERICHT VB.2004.00280 du 26 février 1998</w:t>
      </w:r>
    </w:p>
    <w:p>
      <w:r>
        <w:t>IT: ZH_VERWALTUNGSGERICHT VB.2004.00280 del 26 febbraio 1998</w:t>
      </w:r>
    </w:p>
    <w:p>
      <w:pPr>
        <w:pStyle w:val="Heading2"/>
      </w:pPr>
      <w:r>
        <w:t>Regeste</w:t>
      </w:r>
    </w:p>
    <w:p>
      <w:r>
        <w:t>Ausweisung | Ausweisung eines Spaniers wegen Drogenhandel Unanwendbarkeit von Art. 8 EMRK (2.2); Anwendbarkeit des FZA (2.3). Der Beschwerdeführer wurde wegen Kokainhandels zu über 8 Jahren Zuchthaus verurteilt, womit der Ausweisungsgrund von Art. 10 Abs. 1 lit. a ANAG erfüllt ist (3.1). Auch der Tatbestand von Art. 10 Abs. 1 lit. b ANAG (fehlende Integration in die hiesige Ordnung) ist erfüllt, da der Beschwerdeführer aus dem Strafvollzug heraus ein weiteres Verbrechen plante und sich dem Strafvollzug entzog (3.2). Die Ausweisung erfolgt wegen der öffentlichen Ordnung und Sicherheit (Art. 5 Abs. 1 Anhang I FZA): Die Grundinteressen der Gesellschaft sind vorliegend berührt, da der Beschwerdeführer im grossen Stil mit Kokain handelte (insgesamt über 10 kg; 3.3.1) und einzig aus Rache an seiner ehemaligen Partnerin seine Tochter entführen liess (3.3.2). Zudem hat er sich nie richtig in die hiesigen Verhältnisse integriert (3.3.3). Die Ausweisung aufgrund der folgenden Gesichtspunkte verhältnismässig: schweres Verschuldens des Beschwerdeführers (4.1), langer Aufenthalt im Strafvollzug im Verhältnis zur gesamten Anwesenheitsdauer (4.2), keine intensiven Beziehungen zu Verwandten und Bekannten in der Schweiz und Möglichkeit der Rückkehr nach Spanien (4.3). Die ungewissen familiären Verhältnisse rechtfertigen keine Verkürzung der Ausweisungsdauer von 10 Jahren (4.4). Abweisung</w:t>
      </w:r>
    </w:p>
    <w:p>
      <w:pPr>
        <w:pStyle w:val="Heading2"/>
      </w:pPr>
      <w:r>
        <w:t>Erwägungen</w:t>
      </w:r>
    </w:p>
    <w:p>
      <w:r>
        <w:rPr>
          <w:b/>
        </w:rPr>
        <w:t>E. 4</w:t>
      </w:r>
    </w:p>
    <w:p>
      <w:r>
        <w:t>Damit bleibt zu prüfen, ob sich die vom Regierungsrat angeordnete Ausweisung des Beschwerdeführers für die Dauer von 10 Jahren als verhältnismässig erweist. Nach Art. 11 Abs. 3 ANAG in Verbindung mit Art. 16 Abs. 3 ANAV sind für die Beurteilung der Angemessenheit namentlich wichtig: die Schwere des Verschuldens des Ausländers, die Dauer seiner Anwesenheit in der Schweiz und die ihm und seiner Familie drohenden Nachteile.</w:t>
      </w:r>
    </w:p>
    <w:p>
      <w:r>
        <w:rPr>
          <w:b/>
        </w:rPr>
        <w:t>E. 4.1</w:t>
      </w:r>
    </w:p>
    <w:p>
      <w:r>
        <w:t>Das vom Strafrichter festgestellte Verschulden bildet den Ausgangspunkt für die Verschuldenswürdigung aus fremdenrechtlicher Sicht. Neben dem strafrechtlichen Verschulden ist jedoch insbesondere die Schwere der Straftat und das damit verbundene Strafmass zu berücksichtigen. Sodann ist dem strafrechtlichen Sozialisierungsgedanken zwar im Rahmen der umfassenden Interessenabwägung Rechnung zu tragen (BGE 122 II 433 E. 2b). Indessen ist zu beachten, dass allfälliges Wohlverhalten im Strafvollzug aus der Sicht der Fremdenpolizei geringer zu werten ist als für die Strafvollzugsbehörde. Letztgenannte richtet ihr Augenmerk vorrangig auf eine individuelle Resozialisierung. Polizeiliche Gesichtspunkte wie die Garantie der öffentlichen Ruhe, Ordnung und Gefahrenabwehr werden bei ihrer Prüfung nicht in den Vordergrund gestellt. Demzufolge darf das Wohlverhalten im Strafvollzug aus fremdenpolizeilicher Sicht geringer gewertet werden (BGE 125 II 105 E. 2c). Der Beschwerdeführer hat mehrfach und schwer delinquiert. Bezüglich der Verurteilung wegen Drogenhandels ging das Obergericht im massgebenden Urteil vom 19. Januar 2000 von einem schweren Verschulden aus. Es würdigte dabei nicht nur den Drogenhandel im die Gesundheit einer Vielzahl von Personen gefährdenden Umfang, sondern auch die höhere Stufe des Beschwerdeführers in der Hierarchie im internationalen Drogengeschäft, seine Hemmungs- und Skrupellosigkeit und seine Eigeninitiative. Es kann auf die bisherigen Ausführungen dazu verwiesen werden (vorn 3.3.1). Bezüglich der Wiedereinreise in die Schweiz mit einem verfälschten Pass äussert sich der Strafbefehl vom 6. Juli 1999 nicht zur Strafzumessung. Immerhin darf aufgrund des Strafmasses von 45 Tagen Gefängnis darauf geschlossen werden, dass der zuständige Bezirksanwalt das Verhalten des Beschwerdeführers nicht als blosse Bagatelle ansah. Das Geschworenengericht betrachtete das Verschulden des Beschwerdeführers differenziert: Hinsichtlich der qualifizierten Entführung wurde es als leicht, hinsichtlich der Entziehung von Unmündigen als eher schwer und insgesamt als erheblich eingestuft. Auch die Beschwerde geht von einem als "schwer" eingestuften Verschulden aus.</w:t>
      </w:r>
    </w:p>
    <w:p>
      <w:r>
        <w:rPr>
          <w:b/>
        </w:rPr>
        <w:t>E. 4.2</w:t>
      </w:r>
    </w:p>
    <w:p>
      <w:r>
        <w:t>Zutreffend ist, dass sich der Beschwerdeführer seit Ende 1987, mittlerweile seit fast 17 Jahren, in der Schweiz befindet. Allerdings verbrachte er fast die gesamte zweite Hälfte seiner Anwesenheitsdauer in der Schweiz im Strafvollzug (vorn 3.3.3), was die lange Anwesenheitsdauer relativiert. Soweit der Beschwerdeführer darauf hinweist, dass weder Obergericht noch Geschworenengericht in ihren Urteilen eine Landesverweisung in Betracht gezogen hätten, trifft dies für das Geschworenengericht nicht zu. Dieses prüfte eine solche sehr wohl. Die Führungsberichte der einzelnen Strafanstalten sind nicht geeignet, künftiges Wohlverhalten zu garantieren (vorn 4.2). Im Übrigen nutzte der Beschwerdeführer die Zeit seiner Anwesenheit offensichtlich nicht für eine tiefere Integration. Sein soziales Netz in der Schweiz beschränkt sich auf die Kernfamilie und seine Freundin (vorn 3.3.3). Hier wie in Spanien (bei einer Ausweisung dorthin) müsste er sich also ein neues soziales Netz aufbauen. Seine "feste Absicht", den Kontakt mit seiner Tochter nach deren – gegenwärtig nicht absehbarer – Rückkehr in die Schweiz wieder aufzunehmen, lässt die Ausweisung angesichts der diesbezüglich herrschenden Ungewissheit nicht als unverhältnismässig erscheinen. Nicht für den Standpunkt des Beschwerdeführers spricht, dass das Migrationsamt nach ersten Anstrengungen zum Erlass von Entfernungs- und Fernhaltemassnahmen am 21. September 2000 keine konkreten Massnahmen traf. Aus der Aktennotiz vom 28. Februar 2001 geht hervor, dass man zunächst das erneute Strafverfahren abwarten wollte, bestand doch grundsätzlich die Möglichkeit, dass sich aufgrund einer strafrechtlich angeordneten Landesverweisung die fremdenpolizeiliche erübrigt hätte. Ausserdem wäre eine Ausweisung während des Strafvollzugs nicht zu vollziehen gewesen.</w:t>
      </w:r>
    </w:p>
    <w:p>
      <w:r>
        <w:rPr>
          <w:b/>
        </w:rPr>
        <w:t>E. 4.3</w:t>
      </w:r>
    </w:p>
    <w:p>
      <w:r>
        <w:t>Abs. 1). Unter diesen Umständen ist nicht davon auszugehen, dass die Eltern des Beschwerdeführers eine Reise nach Spanien auch später nicht mehr antreten könnten. Die Rückkehr der Tochter C in die Schweiz ist nicht absehbar. Abzuwarten bliebe nach einer allfälligen Rückkehr des Ehepaars E-B, ob sich der Kontakt zwischen C und dem Beschwerdeführer so einfach wiederherstellen lässt, was im Strafverfahren auch die Verteidigung bezweifelte. Nach Angaben des Ehemannes soll die Kindsmutter von der Entführung traumatisiert sein, oft nachschauen, ob sich das Kind noch im Bett befindet und es regelmässig von der Schule abholen. Es ist daher nicht anzunehmen, dass sie gewillt ist, dem Beschwerdeführer bei einer allfälligen Rückkehr in die Schweiz umgehend ein Besuchsrecht einzuräumen. Diese ungewissen Verhältnisse rechtfertigen jedenfalls keine Verkürzung der Ausweisungsdauer. Im Übrigen erscheint die Ausweisungsdauer angesichts der beschriebenen Umstände, der doch schweren Delinquenz des Beschwerdeführers und der Gefährdung der öffentlichen Sicherheit und Ordnung als angemessen.</w:t>
      </w:r>
    </w:p>
    <w:p>
      <w:r>
        <w:rPr>
          <w:b/>
        </w:rPr>
        <w:t>E. 4.4</w:t>
      </w:r>
    </w:p>
    <w:p>
      <w:r>
        <w:t>Soweit die Beschwerde verlangt, die Ausweisungsdauer sei auf fünf Jahre zu bemessen, stützt sich die Begründung auf blosse Vermutungen. So soll es den hier wohnhaften Eltern des Beschwerdeführers mit zunehmendem Alter nicht mehr möglich sein, zum Beschwerdeführer nach Spanien zu reisen. Die Mutter des Beschwerdeführers ist 59, der Vater 57 Jahre alt. Irgendwelche gesundheitlichen Einschränkungen wurden nicht dargetan (vorn</w:t>
      </w:r>
    </w:p>
    <w:p>
      <w:r>
        <w:rPr>
          <w:b/>
        </w:rPr>
        <w:t>E. 4.5</w:t>
      </w:r>
    </w:p>
    <w:p>
      <w:r>
        <w:t>Insgesamt erscheint eine Ausweisung von 10 Jahren unter den gegebenen Verhältnissen demnach nicht als unverhältnismässig, weshalb die Beschwerde abzuweisen ist.</w:t>
      </w:r>
    </w:p>
    <w:p>
      <w:r>
        <w:rPr>
          <w:b/>
        </w:rPr>
        <w:t>E. 5</w:t>
      </w:r>
    </w:p>
    <w:p>
      <w:r>
        <w:t>Bei diesem Ausgang sind die Kosten des Verfahrens dem Beschwerdeführer aufzuerlegen (§ 70 in Verbindung mit § 13 Abs. 2 Satz 1 VRG). Eine Parteientschädigung ist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