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VB.2004.00227 vom 23. März 2005</w:t>
      </w:r>
    </w:p>
    <w:p>
      <w:r>
        <w:t>ZH Verwaltungsgericht, 2005-03-23, DE</w:t>
      </w:r>
    </w:p>
    <w:p>
      <w:r>
        <w:rPr>
          <w:b/>
        </w:rPr>
        <w:t xml:space="preserve">Quelle: </w:t>
      </w:r>
      <w:r>
        <w:t>https://mcp.opencaselaw.ch/entscheid/zh_verwaltungsgericht__VB.2004.00227</w:t>
      </w:r>
    </w:p>
    <w:p>
      <w:r>
        <w:t>FR: ZH_VERWALTUNGSGERICHT VB.2004.00227 du 23 mars 2005</w:t>
      </w:r>
    </w:p>
    <w:p>
      <w:r>
        <w:t>IT: ZH_VERWALTUNGSGERICHT VB.2004.00227 del 23 marzo 2005</w:t>
      </w:r>
    </w:p>
    <w:p>
      <w:pPr>
        <w:pStyle w:val="Heading2"/>
      </w:pPr>
      <w:r>
        <w:t>Regeste</w:t>
      </w:r>
    </w:p>
    <w:p>
      <w:r>
        <w:t>Eintragung einer Kapitalherabsetzung | Darf die Eintragung einer Kapitalherabsetzung bei einer überschuldeten Gesellschaft verweigert werden, wenn in der Höhe der Überschuldung Rangrücktritte der Gläubiger vorliegen? Zuständigkeit des Verwaltungsgerichts (E. 1+2). Die Kostenfolge der Verfügung des Handelsregisteramtes lässt sich nicht ändern, da die Gebührenerhebung durch das Handelsregisteramt nicht davon abhängt, ob es einem Eintragsbegehren stattgebe (E. 3). Zum besonderen Revisionsbericht gemäss Art. 732 Abs. 2 OR eine Bilanz vor und nach der Kapitalherabsetzung zu verlangen, erscheint jedenfalls hier als untunlich: Die vorliegenden "Pro-forma"-Bilanzen und der Revisionsbericht erfüllen den Zweck, die Lücke zur letzten Bilanz zu schliessen sowie Gewissheit allgemein über die Statthaftigkeit der deklarativen Kapitalherabsetzung und insbesondere betreffend die Gläubigerdeckung zu verschaffen (E. 5). Der Handelsregisterführer darf eine Eintragung unter anderem nur dann verweigern, wenn zwingendes materielles Recht offensichtlich und unzweideutig verletzt ist. Die (deklarative) Kapitalherabsetzung bei einer überschuldeten Gesellschaft, deren Überschuldung durch Rangrücktritte zwar rechtlich nicht aufgehoben, aber wirtschaftlich neutralisiert wird, lässt sich nicht als offenkundig gesetzeswidrig (vgl. Art. 732 Abs. 2 Satz 1 OR) bezeichnen. Die Eintragung darf daher nicht verweigert werden (E. 6). Gutheissung</w:t>
      </w:r>
    </w:p>
    <w:p>
      <w:pPr>
        <w:pStyle w:val="Heading2"/>
      </w:pPr>
      <w:r>
        <w:t>Erwägungen</w:t>
      </w:r>
    </w:p>
    <w:p>
      <w:r>
        <w:rPr>
          <w:b/>
        </w:rPr>
        <w:t>E. 4</w:t>
      </w:r>
    </w:p>
    <w:p>
      <w:r>
        <w:t>Abteilung/4. Kammer Weiterzug: Dieser Entscheid ist rechtskräftig. Rechtsgebiet: Übriges Verwaltungsrecht Betreff: Eintragung einer Kapitalherabsetzung Darf die Eintragung einer Kapitalherabsetzung bei einer überschuldeten Gesellschaft verweigert werden, wenn in der Höhe der Überschuldung Rangrücktritte der Gläubiger vorliegen? Zuständigkeit des Verwaltungsgerichts (E. 1+2). Die Kostenfolge der Verfügung des Handelsregisteramtes lässt sich nicht ändern, da die Gebührenerhebung durch das Handelsregisteramt nicht davon abhängt, ob es einem Eintragsbegehren stattgebe (E. 3). Zum besonderen Revisionsbericht gemäss Art. 732 Abs. 2 OR eine Bilanz vor und nach der Kapitalherabsetzung zu verlangen, erscheint jedenfalls hier als untunlich: Die vorliegenden "Pro-forma"-Bilanzen und der Revisionsbericht erfüllen den Zweck, die Lücke zur letzten Bilanz zu schliessen sowie Gewissheit allgemein über die Statthaftigkeit der deklarativen Kapitalherabsetzung und insbesondere betreffend die Gläubigerdeckung zu verschaffen (E. 5). Der Handelsregisterführer darf eine Eintragung unter anderem nur dann verweigern, wenn zwingendes materielles Recht offensichtlich und unzweideutig verletzt ist. Die (deklarative) Kapitalherabsetzung bei einer überschuldeten Gesellschaft, deren Überschuldung durch Rangrücktritte zwar rechtlich nicht aufgehoben, aber wirtschaftlich neutralisiert wird, lässt sich nicht als offenkundig gesetzeswidrig (vgl. Art. 732 Abs. 2 Satz 1 OR) bezeichnen. Die Eintragung darf daher nicht verweigert werden (E. 6). Gutheissung Stichworte: BILANZ EINTRAGUNG GLÄUBIGER HANDELSREGISTER HANDELSREGISTEREINTRAG HANDELSREGISTERPRAXIS KAPITALHERABSETZUNG KOGNITION KOGNITIONSBESCHRÄNKUNG RANGRÜCKTRITT REVISIONSBERICHT SANIERUNG ÜBERSCHULDUNG Rechtsnormen: Art. 706b Ziff. Ziff. 3 OR Art. 725 OR Art. 725 Abs. II OR Art. 732 OR Art. 732 Abs. II Ziff. Satz 1 OR Art. 733 OR Art. 735 OR Art. 940 OR Art. 22 VwVG Art. 22a VwVG Publikationen: RB 2005 Nr. 30 S. 93 ZBL 2005 Nr. 57 ZR 2005 Nr. 57 Gewichtung: (1 von hoher / 5 von geringer Bedeutung) Gewichtung: 1 I. Die Aktiengesellschaft D mit Sitz in X sah sich genötigt, im Wesentlichen nur mehr ihre Liegenschaft L zu behalten; am 24. November 2003 erteilte eine ausserordentliche Generalversammlung (GV) dem Verkauf des Kerngeschäfts per Ende Monat die unentbehrliche Zustimmung, firmierte die Gesellschaft um in "A AG" und beschloss daneben insbeson­dere auch, das Aktienkapital von Fr. 60'510'960.- um Fr. 52'947'090.- auf Fr. 7'563'870.- herabzusetzen, indem der Nennwert der Aktien von Fr. 40.- auf Fr. 5.- vermindert werde. Ein Revisionsbericht vom selben Tag stützte sich auf Bilanzen zu Fortführungswerten: einerseits eine solche per Ende September 2003, die bei einem Bilanzverlust von Fr. 58,358 Mio. noch keine Überschuldung zeigt; anderseits zwei Pro-forma-Bilanzen "per 30.11.2003 … [n]ach Verkauf Kerngeschäft … (Schätzung) vor Kapitalherabsetzung" bzw. "nach Kapitalherabsetzung", die bei einer Überschuldung von je Fr. 7,800 Mio. einen Bilanzverlust von vorher Fr. 73,567 Mio. und nachher Fr. 20,620 Mio. ausweisen (alles ausgedrückt in reinen Tausendern von Schweizer Franken = TCHF). Dieser Bericht stellte fest, "dass eine auf Verlusten beruhende Unterbilanz vorliegt. Mit … Verkauf des Kerngeschäftes und der heutigen Rangrücktrittserklärung der Hauptgläubigerbanken über TCHF 11,700 ist … die A AG wirtschaftlich nicht mehr überschuldet und erfüllt die Voraussetzungen für ein betriebs- und lebensfähiges Unternehmen im Sinne der Erfordernisse des Art. 725 Abs. 2 OR [Obligationenrecht, SR 220]. Somit sind … die nicht mit einem Rangrücktritt belasteten Forderungen der Gläubiger auch nach durchgeführter Herabsetzung voll gedeckt". Mit Verfügung vom 19. Dezember 2003 lehnte das Zürcher Handelsregisteramt die Eintragung der Kapitalherabsetzung ab (Dispositiv-Ziffer 1), unter Kostenpflicht (Dispositiv-Ziffer 2); es nannte als Rechtsmittel eine innert 14 Tagen zu erhebende Beschwerde bei der kantonalen Direktion der Justiz und des Innern. Die Begründung zum Materiellen lautet zusammengefasst: Erstens genüge eine Pro-forma-Bilanz nicht als Basis des Revisionsberichts; zweitens sei das Kapitalherabsetzungsverfahren bei Überschuldung unstatthaft. Der Entscheid wurde der Rechtsvertretung der A AG am 22. jenes Monats ausgehändigt. II. Mit Eingabe vom 23. Dezember 2003 liess die A AG bei der Direktion der Justiz und des Innern darum ersuchen, die Rechtsmittelfrist einmalig bis 15. Januar 2004 zu erstrecken oder sonst mit prozessleitender Verfügung festzustellen, dass Art. 22a lit. c des Bundesgesetzes vom 20. Dezember 1968 über das Verwaltungsverfahren (VwVG, SR 172.021) – gemäss dieser Vorschrift stehen gesetzliche oder behördliche Fristen, die nach Tagen bestimmt sind, vom 18. Dezember bis zum 1. Januar still – zumindest analog auf die laufende Frist Anwendung finde. Nachdem die kantonale Verwaltung ab 22. Dezember 2003 bis 4. Januar 2004 geschlossen hatte, verlängerte die Direktion die Frist am 5. Januar 2004 sowohl telefonisch als auch brieflich bis zum 15. nämlichen Monats. Die A AG liess am 15. Januar 2004 rekurrieren sowie anbegehren, das Handelsregisteramt unter Entschädigungsfolge zu dessen Lasten und in Aufhebung der Verfügung vom 19. Dezember 2003 anzuweisen, die am 24. November 2003 beschlossene Kapitalherabsetzung einzutragen, allenfalls verknüpft mit der Auflage, "dass … eine Erläuterung zum … Revisionsbericht durch die Revisionsstelle nachgereicht wird, in dem die beanstandeten nicht explizit genannten Zahlen bezüglich der Bilanz per 30. September 2003 ausdrücklich berechnet werden". Mit Verfügung vom 31. März 2004 wies die Direktion das Rechtsmittel ab (Dispositiv-Ziffer I), unter Kostenfolge zu Lasten der A AG (Dispositiv-Ziffer II) und ohne eine Parteientschädigung zuzusprechen (Dispo­sitiv-Ziffer III). Sie erwog kurz gesagt, die A AG habe auf die gewährte Erstreckung der Frist vertrauen können bzw. es habe diese wiederherzustellen gegolten; "[n]ur weil sich der Revisionsbericht vorliegend neben der Bilanz per 30. September 2003 auf zwei Pro Forma Bi­lanzen stützte, hätte das Handelsregisteramt die Eintragung der Kapitalherabsetzung wohl noch nicht verweigern dürfen", doch das immerhin aus dem Grund sogar tun müssen, dass die Forderungen der Gläubiger dann nicht voll gedeckt wären. Der am 13. April 2004 versandte Entscheid wurde der Rechtsvertretung der A AG am übernächsten Tag zugestellt. III. Am Montag, 17. Mai 2004 liess die A AG mit Beschwerde und dem Antrag an das Verwaltungs­gericht gelangen, es seien die Verfügung vom 31. März 2004 aufzuheben sowie das Handelsregisteramt anzuhalten, die am 24. November 2003 beschlossene Kapitalherabsetzung einzutragen, unter Entschädigungsfolge zu Lasten der Direktion der Justiz und des Innern. Die Direktion schloss mit Vernehmlassung vom 26./28. Mai 2004 auf Abweisung des Rechtsmittels; dasselbe – vermehrt um das Ansinnen einer Entschädigungsfolge zu Lasten der A AG – tat das Handelsregisteramt in der Beschwerdeantwort vom 22./23. Juni 2004.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