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VB.2004.00162 vom 26. August 2004</w:t>
      </w:r>
    </w:p>
    <w:p>
      <w:r>
        <w:t>ZH Verwaltungsgericht, 2004-08-26, DE</w:t>
      </w:r>
    </w:p>
    <w:p>
      <w:r>
        <w:rPr>
          <w:b/>
        </w:rPr>
        <w:t xml:space="preserve">Quelle: </w:t>
      </w:r>
      <w:r>
        <w:t>https://mcp.opencaselaw.ch/entscheid/zh_verwaltungsgericht__VB.2004.00162</w:t>
      </w:r>
    </w:p>
    <w:p>
      <w:r>
        <w:t>FR: ZH_VERWALTUNGSGERICHT VB.2004.00162 du 26 août 2004</w:t>
      </w:r>
    </w:p>
    <w:p>
      <w:r>
        <w:t>IT: ZH_VERWALTUNGSGERICHT VB.2004.00162 del 26 agosto 2004</w:t>
      </w:r>
    </w:p>
    <w:p>
      <w:pPr>
        <w:pStyle w:val="Heading2"/>
      </w:pPr>
      <w:r>
        <w:t>Regeste</w:t>
      </w:r>
    </w:p>
    <w:p>
      <w:r>
        <w:t>Wassergebühren | Wassergebühren: Massgeblicher Zeitpunkt für die Entstehung der Abwasser- und Wasseranschlussgebührenpflicht bei Neubauten bzw. Um- und Erweiterungsbauten; Verjährung von Gebührenforderungen. Zuständigkeit und Legitimation (E. 1). Anwendbar ist jenes Recht, welches im Zeitpunkt der Verwirklichung des die Gebührenpflicht auslösenden Sachverhaltes in Kraft stand (E. 2.1). Bei Neubauten entsteht die Anschlussgebührenpflicht mit dem "Anschluss" an das betreffende Versorgungsnetz, nicht mit der Schätzung der Liegenschaft durch die Gebäudeversicherungsanstalt (E 2.2). "Anschluss" bestimmt sich nach dem Zeitpunkt der behördlichen Abnahme der Anschlussleitung oder nach der tatsächlichen Benutzungsmöglichkeit (E. 2.2). Bei Um- und Erweiterungsbauten gelten die gleichen Grundsätze (E. 2.3). Pflicht zur Leistung einer Anschlussgebühr trifft grundsätzlich den Grundeigentümer im Zeitpunkt des Anschlusses (E. 3). Verjährung (E. 4). Öffentlichrechtliche Forderungen verjähren auch ohne ausdrückliche gesetzliche Grundlage (E. 4.1). Nach der damals geltenden Praxis des Verwaltungsgerichtes (heute gilt Art. 47 StHG bzw. §§ 130, 161 und 215 StG vgl. dazu VB.2003.00273) verjährt das Recht zur Veranlagung der Gebühr innert 10 Jahren nach Entstehnung der Gebührenforderung, weshalb die Forderung in casu verjährt ist. Gutheissung.</w:t>
      </w:r>
    </w:p>
    <w:p>
      <w:pPr>
        <w:pStyle w:val="Heading2"/>
      </w:pPr>
      <w:r>
        <w:t>Erwägungen</w:t>
      </w:r>
    </w:p>
    <w:p>
      <w:r>
        <w:rPr>
          <w:b/>
        </w:rPr>
        <w:t>E. 4.1</w:t>
      </w:r>
    </w:p>
    <w:p>
      <w:r>
        <w:t>Wie die Vorinstanz zutreffend erwogen hat, enthält weder das kommunale noch das kantonale Recht eine ausdrückliche Vorschrift über die Verjährung der umstrittenen Gebühren. Indessen verjähren gemäss herrschender Lehre und feststehender Rechtsprechung öffentlichrechtliche Ansprüche im Interesse der Rechtssicherheit auch ohne entsprechende gesetzliche Anordnung durch Zeitablauf (BGE 98 Ib 351 E. 2; 124 I 247 E. 5, je mit Hinweisen). Bei Fehlen einer ausdrücklichen gesetzlichen Regelung sind Beginn und Dauer der Verjährungsfrist in Anlehnung an diejenige Ordnung zu bestimmen, die das öffentliche Recht für verwandte Fälle aufgestellt hat. Ist eine solche öffentlichrechtliche Ordnung nicht vorhanden, ist die Verjährungsfrist analog zu privatrechtlichen Bestimmungen bzw. nach allgemeinen Grundsätzen festzulegen (BGE 112 Ia 260 E. 5 mit Hinweisen; Rhinow/Krähenmann, Nr. 34 B I und B III; Ulrich Häfelin/Georg Müller, Allgemeines Verwaltungsrecht, 4. A., Zürich 2002, Rz. 790). In diesem Sinn bestand nach bisheriger Rechtsprechung des Verwaltungsgerichts für Gebühren und Beiträge der verschiedensten Art die Regel, dass das Recht zur Veranlagung der Gebühr innert 10 Jahren nach Entstehung der Gebührenforderung verwirke (RB 1976 Nr. 109; 1987 Nr. 88 und 1997 Nr. 116 bezüglich Strassen- und Trottoirbeiträge; RB 1985 Nr. 121, bestätigt durch BGE 112 Ia 260, und RB 1997 Nr. 59 bezüglich Kanalisations- und Wasseranschlussgebühren; RB 1992 Nr. 88 betreffend Stromgebühren). Diese Verwirkungsfrist, innert welcher die fraglichen Gebühren rechtskräftig veranlagt sein müssen, wurde in Analogie zu § 104 des damaligen Steuergesetzes bestimmt, wonach Nachsteueransprüche zehn Jahre nach Ablauf des Steuerjahres verjährten, für das der Steuerpflichtige nicht richtig oder unvollständig eingeschätzt worden war. Am 1. Januar 1999 ist das total revidierte Zürcher Steuergesetz vom 8. Juni 1997 (StG) in Kraft getreten. Es berücksichtigt namentlich die Vorgaben des Bundesge­setzes vom 14. Dezember 1990 über die Harmonisierung der direkten Steuern der Kantone und Gemeinden (StHG). Entsprechend Art. 47 StHG normiert das Zürcher Steuergesetz eine relative Veranlagungsverjährung von fünf und eine absolute Verjährung (Verwirkung) von 15 Jahren (siehe § 130 StG für die periodischen Steuern und § 215 StG für die Grundsteuern). Vorbehalten bleibt die Erhebung von Nachsteuern und Bussen. Das Recht, ein Nachsteuerverfahren einzuleiten, erlischt gemäss § 161 Abs. 1 StG zehn Jahre nach Ablauf der Steuerperiode, für die eine Einschätzung zu Unrecht unterblieben oder eine rechtskräftige Einschätzung unvollständig ist. Gemäss § 161 Abs. 2 StG erlischt das Recht, die Nachsteuer festzusetzen, 15 Jahre nach Ablauf der Steuerperiode, auf die sie sich bezieht. Im Hinblick darauf hat das Verwaltungsgericht mit Urteil VB.2003.00273 vom 13. November 2003 (RB 2003 Nr. 38) in Änderung der bisherigen Praxis erkannt, dass für Kanalisations- und Wasseranschlussgebühren sowie vergleichbare Kausalabgaben eine relative Verjährungsfrist von fünf Jahren und eine absolute Verwirkungsfrist von 15 Jahren gelte. Im Sinne einer Übergangsregelung hat das Gericht jedoch in Anlehnung an § 269 StG festgehalten, dass die Frage nach der massgeblichen Verjährungsfrist bei Gebühren auslösenden Sachverhalten, die sich vor dem 1. Januar 1999 vollendet haben, nach der bisherigen Praxis zu entscheiden sei, während auf jüngere Sachverhalte grundsätzlich die neue Praxis anzuwenden sei. Um dem Umstand Rechnung zu tragen, dass die hiermit beschlossene Praxisänderung den Gemeinden eine angemessene Reaktionszeit belassen müsse, sei für die relative Verjährung ein zusätzliches Jahr vorzusehen, was konkret bedeute, dass die relative Verjährung für die im Jahre 1999 verwirklichten gebührenpflichtigen Sachverhalte erst am 1. Januar 2000 zu laufen beginne und erst am 31. Dezember 2004 ablaufe.</w:t>
      </w:r>
    </w:p>
    <w:p>
      <w:r>
        <w:rPr>
          <w:b/>
        </w:rPr>
        <w:t>E. 4.2</w:t>
      </w:r>
    </w:p>
    <w:p>
      <w:r>
        <w:t>Nach den vorstehenden Erwägungen hat sich im vorliegenden Fall der die Gebührenpflicht begründende Sachverhalt im Jahr 1989 ereignet. Demnach gilt noch die alte Praxis mit einer absoluten Verjährungs- bzw. Verwirkungsfrist von zehn Jahren. Diese Frist ist im Jahre 1999 abgelaufen. Die im Jahre 2003 erhobenen Gebührenforderungen waren daher bereits im Zeitpunkt der Veranlagung und Rechnungsstellung verwirkt. Daran vermag nach dem Gesagten der Umstand nichts zu ändern, dass die Verzögerung der Veranlagung darauf zurückzuführen ist, dass die Grundlage der Gebührenbemessung bildende Revisionsschätzung wegen der vom früheren Grundeigentümer unterlassenen Meldung erst am 11. Juni 2003 erfolgte.</w:t>
      </w:r>
    </w:p>
    <w:p>
      <w:r>
        <w:rPr>
          <w:b/>
        </w:rPr>
        <w:t>E. 5</w:t>
      </w:r>
    </w:p>
    <w:p>
      <w:r>
        <w:t>Demnach ist die Beschwerde gutzuheissen. Der Beschluss des Bezirksrats Z vom 27. Februar 2004 sowie die Verfügung der Werkkommission X vom 19. August 2003 sind aufzuheben. Die Rekurskosten des Bezirksrats Z von Fr. 1'010.- sowie die Gerichtskosten sind der Beschwerdegegnerin aufzuerlegen (§ 70 in Verbindung mit § 13 Abs. 2 VRG). Dem Begehren der Beschwerdeführerin um Zusprechung einer Parteientschädigung ist nicht zu entsprechen. Eine nicht durch einen Rechtsbeistand vertretenen Partei hat nach der Praxis zu § 17 Abs. 2 VRG nur dann Anspruch auf eine solche Entschädigung, wenn der für sie erforderliche Rechtsverfolgungsaufwand das übliche Mass erheblich übersteigt (Kölz/Bosshart/Röhl, § 17 N. 17). Diese Voraussetzung ist hier nicht erfüllt.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