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VB.2003.00355 vom 4. Februar 2004</w:t>
      </w:r>
    </w:p>
    <w:p>
      <w:r>
        <w:t>ZH Verwaltungsgericht, 2004-02-04, DE</w:t>
      </w:r>
    </w:p>
    <w:p>
      <w:r>
        <w:rPr>
          <w:b/>
        </w:rPr>
        <w:t xml:space="preserve">Quelle: </w:t>
      </w:r>
      <w:r>
        <w:t>https://mcp.opencaselaw.ch/entscheid/zh_verwaltungsgericht__VB.2003.00355</w:t>
      </w:r>
    </w:p>
    <w:p>
      <w:r>
        <w:t>FR: ZH_VERWALTUNGSGERICHT VB.2003.00355 du 4 février 2004</w:t>
      </w:r>
    </w:p>
    <w:p>
      <w:r>
        <w:t>IT: ZH_VERWALTUNGSGERICHT VB.2003.00355 del 4 febbraio 2004</w:t>
      </w:r>
    </w:p>
    <w:p>
      <w:pPr>
        <w:pStyle w:val="Heading2"/>
      </w:pPr>
      <w:r>
        <w:t>Regeste</w:t>
      </w:r>
    </w:p>
    <w:p>
      <w:r>
        <w:t>Aufenthaltsbewilligung | Kein Anspruch infolge Volljährigkeit der Kinder und fehlender Abhängigkeit Beschwerdeführer, geboren 1947, Tunesier, Unterhaltsverpflichteter zweier Schweizer Bürger, kann für sich aus Art. 8 EMRK keinen Anspruch auf Erteilung einer Aufenthaltsbewilligung ableiten, da die beiden Söhne bereits volljährig sind und kein besonderes Abhängigkeitsverhältnis besteht. Keine analoge Anwendung des FZA. Nichteintreten.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Mit dem heutigen Entscheid ist eine vorsorgliche Regelung der Aufenthaltsberechtigung des Beschwerdeführers hinfällig.</w:t>
      </w:r>
    </w:p>
    <w:p>
      <w:r>
        <w:rPr>
          <w:b/>
        </w:rPr>
        <w:t>E. 3</w:t>
      </w:r>
    </w:p>
    <w:p>
      <w:r>
        <w:t>Bei diesem Verfahrensausgang sind die Gerichtskosten dem Beschwerdeführer aufzuerlegen und steht diesem keine Parteientschädigung zu (§ 13 Abs. 2 in Verbindung mit § 70 VRG beziehungsweise § 17 Abs. 2 VRG).</w:t>
      </w:r>
    </w:p>
    <w:p>
      <w:r>
        <w:rPr>
          <w:b/>
        </w:rPr>
        <w:t>E. 4</w:t>
      </w:r>
    </w:p>
    <w:p>
      <w:r>
        <w:t>Indem das Gericht auf die Beschwerde nicht eintritt, weil es einen Rechtsanspruch verneint, schliesst es auch die Möglichkeit der Verwaltungsgerichtsbeschwerde an das Bundesgericht aus (§ 43 Abs. 1 lit. h und Abs. 2 VRG). Die allfällige Verletzung eines behaupteten Anspruchs wäre dennoch im Verfahren der Verwaltungsgerichtsbeschwerde zu rügen (BGE 127 II 161 E. 1b).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