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VB.2003.00268 vom 21. April 2004</w:t>
      </w:r>
    </w:p>
    <w:p>
      <w:r>
        <w:t>ZH Verwaltungsgericht, 2004-04-21, DE</w:t>
      </w:r>
    </w:p>
    <w:p>
      <w:r>
        <w:rPr>
          <w:b/>
        </w:rPr>
        <w:t xml:space="preserve">Quelle: </w:t>
      </w:r>
      <w:r>
        <w:t>https://mcp.opencaselaw.ch/entscheid/zh_verwaltungsgericht__VB.2003.00268</w:t>
      </w:r>
    </w:p>
    <w:p>
      <w:r>
        <w:t>FR: ZH_VERWALTUNGSGERICHT VB.2003.00268 du 21 avril 2004</w:t>
      </w:r>
    </w:p>
    <w:p>
      <w:r>
        <w:t>IT: ZH_VERWALTUNGSGERICHT VB.2003.00268 del 21 aprile 2004</w:t>
      </w:r>
    </w:p>
    <w:p>
      <w:pPr>
        <w:pStyle w:val="Heading2"/>
      </w:pPr>
      <w:r>
        <w:t>Regeste</w:t>
      </w:r>
    </w:p>
    <w:p>
      <w:r>
        <w:t>Submission | Beschaffung der Ausrüstung eines Regenklärbeckens Anforderungen an die Begründung des Vergabeentscheids (E.3.1) Variante: Ein Angebot, das zwar den Vorgaben der Ausschreibung entspricht, dessen spezielle Vorteile jedoch nur bei einer Änderung des Projekts genutzt werden können, wird wie eine Variante behandelt. - Varianten, die mit einer Offerte eingereicht werden, müssen ausdrücklich erwähnt werden. Es ist Sache des Anbieters, die Vorzüge seiner Variante klar darzustellen. Der Vergabebehörde steht auch beim Entscheid über die Berücksichtigung einer Variante ein weites Ermessen zu (E.3.2.2). Technische Spezifikation: Werden zur Realisierung eines Bauwerks mehrere Aufträge (nach Arbeitskategorien) vergeben, so sind zu deren Koordination u.U. Festlegungen erforderlich, welche die Wahl der Konstruktion und der verwendeten Komponenten einschränken. Dies darf jedoch nicht dazu führen, dass das Projekt auf das Fabrikat eines bestimmten Anbieters zugeschnitten und andere Anbieter faktisch ausgeschlossen werden (E.3.2.3). Lehrlingsausbildung: Das Zuschlagskriterium der Lehrlingsausbildung beruht auf einer ausdrücklichen Grundlage in der Submissionsverordnung. Es steht nicht im Belieben der Vergabebehörden, weitere Kriterien mit sozialpolitischer Zielsetzung einzuführen, die weder auf den wirtschaftlichen Nutzen eines Angebots noch auf Merkmale der angebotenen Leistung Bezug nehmen (E.4.3).</w:t>
      </w:r>
    </w:p>
    <w:p>
      <w:pPr>
        <w:pStyle w:val="Heading2"/>
      </w:pPr>
      <w:r>
        <w:t>Erwägungen</w:t>
      </w:r>
    </w:p>
    <w:p>
      <w:r>
        <w:rPr>
          <w:b/>
        </w:rPr>
        <w:t>E. 5</w:t>
      </w:r>
    </w:p>
    <w:p>
      <w:r>
        <w:t>Zusammengefasst weist die Beurteilung der Angebote von Beschwerdeführerin und Mitbeteiligten somit mehrere Mängel auf: Beim Kriterium " Betriebs- und Wartungskosten" vermag die Beschwerdegegnerin nicht zu begründen, weshalb das Angebot der Beschwerdeführerin trotz der von dieser behaupteten und unwidersprochen gebliebenen Vorteile ihres Systems keine günstigere Bewertung erhalten hat als dasjenige der Mitbeteiligten (E. 3.3). Auch beim Kriterium "Qualität des Systems" gelangte die Beschwerdegegnerin zu einer Bewertung, die der unterschiedlichen Qualität der beiden Systeme, soweit diese sich aufgrund der Darstellung der Parteien beurteilen lässt, nicht gerecht wird (E. 3.4). Anderseits hat sich gezeigt, dass das Angebot der Beschwerdeführerin beim Kriterium Lehrlingsausbildung mit 0 Punkten bewertet werden muss, da sie keine Lehrlinge beschäftigt (E. 4.3). Im welchem Ausmass die Beurteilung der Kriterien " Betriebs- und Wartungskosten" sowie " Qualität des Systems" korrigiert werden müsste, kann im vorliegenden Verfahren nicht überprüft werden, da der Sachverhalt diesbezüglich zu wenig klar ist und das Verwaltungsgericht einen derartigen Ermessensentscheid auch nicht anstelle der Vergabebehörde treffen kann. Damit bleibt offen, ob die notwendigen Korrekturen den Punkteverlust der Beschwerdeführerin beim Kriterium Lehrlingsausbildung auszugleichen vermöchten. Hätte die Beschwerdegegnerin den Vertrag mit der Mitbeteiligten noch nicht abgeschlossen, müsste der Zuschlag in Gutheissung der Beschwerde aufgehoben und die Sache zu neuer Beurteilung an die Beschwerdegegnerin zurückgewiesen werden. Nachdem der Vertrag jedoch bereits abgeschlossen ist, sind keine zusätzlichen Abklärungen vorzunehmen, sondern es ist in Gutheissung der Beschwerde ohne weiteres die Rechtswidrigkeit des angefochtenen Zuschlags festzustellen (RB 1999 Nr. 58 = ZBl 2000 S. 271 E. 6c = BEZ 1999 Nr. 26).</w:t>
      </w:r>
    </w:p>
    <w:p>
      <w:r>
        <w:rPr>
          <w:b/>
        </w:rPr>
        <w:t>E. 6</w:t>
      </w:r>
    </w:p>
    <w:p>
      <w:r>
        <w:t>Bei diesem Ausgang des Verfahrens wird die Beschwerdegegnerin kostenpflichtig. Die Zusprechung einer Parteientschädigung an die Beschwerdeführerin ist dagegen angesichts des begrenzten Aufwandes, der ihr mit der Beschwerdeführung entstanden ist, nicht gerechtfertigt (§ 17 Abs. 2 lit. a des Verwaltungsrechtspflegegesetzes vom 24. Mai 1959). Demgemäss entscheidet die Kammer : 1.    Die Beschwerde wird gutgeheissen und es wird festgestellt, dass der angefochtene Vergabeentscheid des Gemeinderats vom 28. Juli 2003 rechtswidrig ist. 2.    Die Gerichtsgebühr wird festgesetzt auf Fr. 3'000.--;    die übrigen Kosten betragen: Fr.    210.--     Zustellungskosten, Fr. 3'210.--     Total der Kosten. 3.    Die Gerichtskosten werden der Beschwerdegegnerin auferlegt.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