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VB.2003.00231 vom 23. Oktober 2003</w:t>
      </w:r>
    </w:p>
    <w:p>
      <w:r>
        <w:t>ZH Verwaltungsgericht, 2003-10-23, DE</w:t>
      </w:r>
    </w:p>
    <w:p>
      <w:r>
        <w:rPr>
          <w:b/>
        </w:rPr>
        <w:t xml:space="preserve">Quelle: </w:t>
      </w:r>
      <w:r>
        <w:t>https://mcp.opencaselaw.ch/entscheid/zh_verwaltungsgericht__VB.2003.00231</w:t>
      </w:r>
    </w:p>
    <w:p>
      <w:r>
        <w:t>FR: ZH_VERWALTUNGSGERICHT VB.2003.00231 du 23 octobre 2003</w:t>
      </w:r>
    </w:p>
    <w:p>
      <w:r>
        <w:t>IT: ZH_VERWALTUNGSGERICHT VB.2003.00231 del 23 ottobre 2003</w:t>
      </w:r>
    </w:p>
    <w:p>
      <w:pPr>
        <w:pStyle w:val="Heading2"/>
      </w:pPr>
      <w:r>
        <w:t>Regeste</w:t>
      </w:r>
    </w:p>
    <w:p>
      <w:r>
        <w:t>Ausnahmebewilligung nach Art. 24; Rodungsbewilligung | Pferdeställe im Waldgebiet Voraussetzungen für Bewilligungen von Bauten im Wald (E. 2a). Konkret liegen die Ställe im Waldgebiet und dienen nicht forstlichen Zwecken; sie bedürfen daher einer Bewilligung nach Art. 24 RPG (in der bis 31.8.2000 geltenden Fassung) (E. 2b). Voraussetzungen für die Rodungsbewilligung (E. 2c). Die streitbetroffenen Pferdeställe können angesichts der beanspruchten Fläche von 370 m2 (inkl. Umgebung) n i c h t als Kleinbauten im Sinn der Waldgesetzgebung bezeichnet werden, bei denen eine Rodungsbewilligung nicht notwendig ist. Ob tatsächlich Bäume gefällt werden müssen, ist kein entscheidendes Kriterium (E. 5). Begriff der Standortgebundenheit. Die konkrete Lage lässt nicht auf eine negative Standortgebundenheit schliessen und die betrieblichen Verhältnisse nicht auf eine positive Standortgebundenheit (E. 6a). Die Interessenabwägung fällt zuungunsten des Standorts im Waldgebiet aus (E. 6b/c). Wiederherstellung: Es ist nicht unverhältnismässig, die Beseitigung der Bauten zu verlangen (E. 7). Die Wiederherstellungsfrist von 3 Monaten ab Rechtskraft ist für die Suche eines bewilligungsfähigen Ersatzstandortes zu kurz; Verlängerung auf 6 Monate (E. 8). Teilweise Gutheissung.</w:t>
      </w:r>
    </w:p>
    <w:p>
      <w:pPr>
        <w:pStyle w:val="Heading2"/>
      </w:pPr>
      <w:r>
        <w:t>Erwägungen</w:t>
      </w:r>
    </w:p>
    <w:p>
      <w:r>
        <w:rPr>
          <w:b/>
        </w:rPr>
        <w:t>E. 3</w:t>
      </w:r>
    </w:p>
    <w:p>
      <w:r>
        <w:t>Abteilung/3. Kammer Weiterzug: Das Bundesgericht hat eine Verwaltungsgerichtsbeschwerde gegen diesen Entscheid am 30.09.2004 abgewiesen. Rechtsgebiet: Raumplanungs-, Bau- und Umweltrecht Betreff: Ausnahmebewilligung nach Art. 24; Rodungsbewilligung Pferdeställe im Waldgebiet Voraussetzungen für Bewilligungen von Bauten im Wald (E. 2a). Konkret liegen die Ställe im Waldgebiet und dienen nicht forstlichen Zwecken; sie bedürfen daher einer Bewilligung nach Art. 24 RPG (in der bis 31.8.2000 geltenden Fassung) (E. 2b). Voraussetzungen für die Rodungsbewilligung (E. 2c). Die streitbetroffenen Pferdeställe können angesichts der beanspruchten Fläche von 370 m2 (inkl. Umgebung) n i c h t als Kleinbauten im Sinn der Waldgesetzgebung bezeichnet werden, bei denen eine Rodungsbewilligung nicht notwendig ist. Ob tatsächlich Bäume gefällt werden müssen, ist kein entscheidendes Kriterium (E. 5). Begriff der Standortgebundenheit. Die konkrete Lage lässt nicht auf eine negative Standortgebundenheit schliessen und die betrieblichen Verhältnisse nicht auf eine positive Standortgebundenheit (E. 6a). Die Interessenabwägung fällt zuungunsten des Standorts im Waldgebiet aus (E. 6b/c). Wiederherstellung: Es ist nicht unverhältnismässig, die Beseitigung der Bauten zu verlangen (E. 7). Die Wiederherstellungsfrist von 3 Monaten ab Rechtskraft ist für die Suche eines bewilligungsfähigen Ersatzstandortes zu kurz; Verlängerung auf 6 Monate (E. 8). Teilweise Gutheissung. Stichworte: BAUBEWILLIGUNG UND BAUBEWILLIGUNGSVERFAHREN FORSTRECHT INTERESSENABWÄGUNG PFERDESTALL RODUNG STANDORTGEBUNDENHEIT VERHÄLTNISMÄSSIGKEIT WALD WIEDERHERSTELLUNG WIEDERHERSTELLUNGSFRIST Rechtsnormen: Art. 24 RPG Art. 4 WaG Art. 5 Abs. II WaG Art. 11 Abs. I WaG Art. 4 lit. a WaV Art. 14 Abs. II WaV Publikationen: - keine - Gewichtung: (1 von hoher / 5 von geringer Bedeutung) Gewichtung: 3 I. Die Erben A sind Eigentümer des Grundstücks Kat. Nr. 01 an der L-Strasse in X. Gemäss Bau- und Zonenordnung vom 22. Juni 2000 (BZO) liegt der südwestliche Teil in der Wohnzone W2B und ist mit einem unter Denkmalschutz gestellten Reitstall überbaut. Die übrige Grundstückfläche befindet sich in der Erholungszone C (Sport und Freizeit­anlagen); sie ist im nordwestlichen Teil mit einer Reitbahn und inliegender Reithalle überstellt sowie im östlichen Teil mit Wald bestockt. Die Eigentümer erstellten im Jahre 2000 drei neue Pferdestallungen. Die Ställe 1 und 2 mit Grundflächen von rund 72 m² (14,0 x 5,2 m) bzw. 80 m² (13,9 x 5,8 m), Gebäudehöhen von 4,47 bzw. 4,0 m, umfassend drei bzw. vier Pferdeboxen, liegen im Wald­gebiet; der Stall 3 befindet sich im Waldab­standsbereich. Nachdem die Baukommission der Gemeinde X davon Kenntnis erhalten und zusammen mit Vertretern des Kreisforstamtes M und der kantonalen Amtsstelle Wald am</w:t>
      </w:r>
    </w:p>
    <w:p>
      <w:r>
        <w:rPr>
          <w:b/>
        </w:rPr>
        <w:t>E. 5</w:t>
      </w:r>
    </w:p>
    <w:p>
      <w:r>
        <w:t>Juli 2000 zur Klärung des Sachverhalts einen Augenschein vorgenommen hatte, forderte sie die Eigentümer am 13. Juli 2000 auf, die im Wald liegenden Ställe 1 und 2 abzubrechen oder zwecks Klärung der Bewilligungsfähigkeit umgehend ein (nachträg­liches) Baugesuch einzureichen. Ein solches Gesuch, verbunden mit dem Begehren, die Rodung von 370 m² Wald zu bewilligen, wurde am 31. Oktober 2000 eingereicht. Die Volkswirtschaftsdirektion (Amt für Landschaft und Natur/Abteilung Wald) verweigerte am 23. Januar 2001 sowohl die Rodungsbewilligung wie auch die raum­pla­nungsrechtliche Ausnahmebewilligung. Sie verpflichtete die Eigentümer (bzw. den formell als Gesuchsteller aufgetretenen Vertreter der Eigentümer), die beiden widerrechtlich erstellten Bauten binnen drei Monaten nach Eintreten der Rechtskraft dieser Verfügung abzubrechen und alles Material, einschliesslich den Teerbelag, zu entfernen; der Wald­boden sei so herzurichten, dass sich das zweckentfremdete Waldareal wiederbewalden könne. Demgegenüber bewilligte die Direktion die Unterschreitung des gesetzlichen Waldabstands für den Pferdestall 3 unter Nebenbestimmungen. In gleicher Weise beschloss die Baukommission der Gemeinde X am 10. Dezember 2001, eine nachträgliche Baubewilligung werde bezüglich der Ställe 1 und 2 verweigert, bezüglich des im Waldabstandsbereich liegenden Stalles 3 unter Nebenbestimmungen erteilt. Die kantonale Verfügung vom 23. Januar 2001 wurde den Gesuchstellern gleich­zeitig mit der kommunalen Verfügung vom 10. Dezember 2001 eröffnet. II. Den dagegen erhobenen Rekurs vom 11. Januar 2002 wies der Regierungsrat am 14. Mai 2003 ab; die Rekurskosten auferlegte er den Rekurrierenden, deren Begehren um Zusprechen einer Parteientschädigung er abwies. III. Mit Beschwerde vom 23. Juni 2003 beantragten die Eigentümer dem Verwal­tungsgericht, den Rekursentscheid des Regierungsrats aufzuheben und dessen Vorinstan­zen einzuladen, die raumplanungsrechtliche Ausnahmebewilligung und die kommunale Baubewilligung sowie – sofern nötig – die waldrechtliche Rodungsbewilligung für die streitbetroffenen Pferdeboxen zu erteilen; eventuell sei bloss die Beseitigung des Teerbelags rund um die beiden Pferdestallungen zu befehlen; subeventuell sei für die Beseitigung der Bauten eine Frist von sechs statt von bloss drei Monaten ab Rechtskraft des Beschwerdeentscheids zu gewähren. In verfahrensrechtlicher Hinsicht wurde die Durchführung eines Augenscheins sowie die Zusprechung einer Parteientschädigung verlangt. Die Volkswirtschaftsdirektion, die Baukommission der Gemeinde X sowie namens des Regierungsrats die Staatskanzlei beantragten Abweisung der Beschwerde.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