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VB.2003.00123 vom 9. Juli 2003</w:t>
      </w:r>
    </w:p>
    <w:p>
      <w:r>
        <w:t>ZH Verwaltungsgericht, 2003-07-09, DE</w:t>
      </w:r>
    </w:p>
    <w:p>
      <w:r>
        <w:rPr>
          <w:b/>
        </w:rPr>
        <w:t xml:space="preserve">Quelle: </w:t>
      </w:r>
      <w:r>
        <w:t>https://mcp.opencaselaw.ch/entscheid/zh_verwaltungsgericht__VB.2003.00123</w:t>
      </w:r>
    </w:p>
    <w:p>
      <w:r>
        <w:t>FR: ZH_VERWALTUNGSGERICHT VB.2003.00123 du 9 juillet 2003</w:t>
      </w:r>
    </w:p>
    <w:p>
      <w:r>
        <w:t>IT: ZH_VERWALTUNGSGERICHT VB.2003.00123 del 9 luglio 2003</w:t>
      </w:r>
    </w:p>
    <w:p>
      <w:pPr>
        <w:pStyle w:val="Heading2"/>
      </w:pPr>
      <w:r>
        <w:t>Regeste</w:t>
      </w:r>
    </w:p>
    <w:p>
      <w:r>
        <w:t>Niederlassungs-/Aufenthaltsbewilligung | Zielsetzung des FZA; Anwendung bei Doppelbürgerschaft Aufgrund ungenügender Dokumentation der angeblichen schweizerisch-britischen Doppelbürgerschaft der Ehefrau sowie aufgrund der Zielsetzung des FZA als Migrationsabkommen für Erwerbstätige, ist es in casu nicht anwendbar (E. 2a-g). Während nach der Rechtsprechung zum ANAG bei einem Grenzfall von zwei Jahren Freiheitsstrafe wohl eine Nichtverlängerung der Aufenthaltsbewilligung nicht zu verhindern wäre (E. 3a-c), erscheint sie nach der Praxis zum Fall Boultif als unverhältnismässig, insbesondere da Anzeichen für eine schlechte Prognose fehlen (E. 4a-b). Aufgrund der nur teilweisen Gutheissung werden die Kosten hälftig geteilt und eine Parteientschädigung wett geschlagen (E. 5).</w:t>
      </w:r>
    </w:p>
    <w:p>
      <w:pPr>
        <w:pStyle w:val="Heading2"/>
      </w:pPr>
      <w:r>
        <w:t>Erwägungen</w:t>
      </w:r>
    </w:p>
    <w:p>
      <w:r>
        <w:rPr>
          <w:b/>
        </w:rPr>
        <w:t>E. 2</w:t>
      </w:r>
    </w:p>
    <w:p>
      <w:r>
        <w:t>Abteilung/2. Kammer Weiterzug: Dieser Entscheid ist rechtskräftig. Rechtsgebiet: Ausländerrecht Betreff: Niederlassungs-/Aufenthaltsbewilligung Zielsetzung des FZA; Anwendung bei Doppelbürgerschaft Aufgrund ungenügender Dokumentation der angeblichen schweizerisch-britischen Doppelbürgerschaft der Ehefrau sowie aufgrund der Zielsetzung des FZA als Migrationsabkommen für Erwerbstätige, ist es in casu nicht anwendbar (E. 2a-g). Während nach der Rechtsprechung zum ANAG bei einem Grenzfall von zwei Jahren Freiheitsstrafe wohl eine Nichtverlängerung der Aufenthaltsbewilligung nicht zu verhindern wäre (E. 3a-c), erscheint sie nach der Praxis zum Fall Boultif als unverhältnismässig, insbesondere da Anzeichen für eine schlechte Prognose fehlen (E. 4a-b). Aufgrund der nur teilweisen Gutheissung werden die Kosten hälftig geteilt und eine Parteientschädigung wett geschlagen (E. 5). Stichworte: ANWENDBARKEIT AUFENTHALTSBEWILLIGUNG DOPPELBÜRGER/-IN ERWERBSTÄTIGKEIT GRENZFALL NIEDERLASSUNGSBEWILLIGUNG PROGNOSE RÜCKFALLGEFAHR SOLIDARSCHULD STRAFE (FREIHEITSSTRAFE) ZIELSETZUNG Rechtsnormen: Art. 7 lit. I ANAG Art. 10 lit. Ia ANAG Art. 8 lit. I EMRK Art. 1 lit. a FZA Art. 4 FZA Art. 7 lit. b + c FZA Art. 16 lit. I + II FZA Art. 2 lit. II Anhang I FZA Art. 24 Anhang I FZA Art. 4 VEP Art. 23 VEP Publikationen: - keine - Gewichtung: (1 von hoher / 5 von geringer Bedeutung) Gewichtung: 2 I. A, Bürger von X, heiratete am 9. März 1996 in seiner Heimat die geborene Schweizerin B. Als Folge wurde ihm der Aufenthalt in der Schweiz zum Verbleib bei seiner Ehefrau und der Stellenantritt bewilligt. Im Juni 1999 wurde A verhaftet und in Untersuchungshaft versetzt. Am</w:t>
      </w:r>
    </w:p>
    <w:p>
      <w:r>
        <w:rPr>
          <w:b/>
        </w:rPr>
        <w:t>E. 7</w:t>
      </w:r>
    </w:p>
    <w:p>
      <w:r>
        <w:t>Abs. 1 ANAG als rechtmässig. 4. a) Wie der Regierungsrat zutreffend ausgeführt hat, können sich die Beschwerdeführenden auch auf Art. 8 Abs. 1 EMRK und – nicht weitergehend – Art. 13 Abs. 1 der Bundesverfassung vom 18. April 1999 berufen. Diese Vorschriften garantieren den Schutz des Familienlebens und können unter gewissen Voraussetzungen eine fremdenpolizeiliche Wegweisungsmassnahme gegenüber einem Mitglied der Familie als rechtswidrig erscheinen lassen. Wie bei Art. 7 ANAG ist eine Abwägung zwischen dem öffentlichen Interesse an der Wegweisung und den privaten Interessen, vorab im Hinblick auf das Familienleben, vorzunehmen. Im Urteil des Europäischen Gerichtshofs für Menschenrechte (EGMR) in Sachen Boultif (EGMR, 2. August 2001, Boultif, 54273/00, hudoc.echr.coe.int) hat er massgebliche Kriterien für die Abwägung formuliert, welche gegenüber der Rechtsprechung des Bundesgerichts zu Art. 7 ANAG eine gewisse Verschiebung der Gewichtung zu Gunsten des Schutzes des Familienlebens bewirken (vgl. Philip Grant, AJP 2002, S. 220 f.). Ausgangslage im Fall Boultif war eine gerichtliche Bestrafung des ausländischen Ehemanns einer Schweizerin mit einer Freiheitsstrafe von zwei Jahren wegen eines Raubüberfalls. Im Gegensatz zur Rechtsprechung des Bundesgerichts zum ANAG legte der EGMR Gewicht auf die Frage, ob sich der Ausländer im Strafvollzug und während der bedingten vorzeitigen Entlassung bewährt habe. Sodann spielte eine Rolle, wie lange sich der Ausländer in der Schweiz aufhielt und welches die Dauer der klaglosen Lebensgestaltung seit der Deliktsbegehung insgesamt war. Ebenfalls bedeutsam für die Abwägung war der Umstand, ob im Zeitpunkt der Heirat der nicht fehlbare Partner damit habe rechnen können, die Ehe in der Schweiz zu leben oder ob dieser auf Grund bereits erfolgter und bekannter Delikte des Ehegatten nicht mit Sicherheit davon ausgehen durfte. Endlich mass der EGMR dem Umstand erhebliches Gewicht bei, ob es der Ehefrau zuzumuten sei, ihr künftiges Leben in der Heimat ihres Gatten zu verbringen. Gestützt auf diese Kriterien befand der EGMR, dass die Nichtverlängerung der Aufenthaltsbewilligung durch die schweizerischen Behörden und Gerichte gegen die Garantie des Familienlebens gemäss Art. 8 Abs. 1 der Konvention verstosse. Der verurteilte Ausländer habe sich insgesamt längere Zeit in der Schweiz aufgehalten. Anlässlich der Heirat habe er seiner Ehegattin keinen Anlass gegeben, an der Möglichkeit, zukünftig als Ehepaar in der Schweiz leben zu können, zweifeln zu müssen. Während des Strafvollzugs habe er sich um seine berufliche Zukunft und nach der bedingten Entlassung tatkräftig um eine geregelte Erwerbstätigkeit bemüht. Weder aus der Straftat noch aus anderen Umständen lasse sich die Prognose ableiten, dass er in Zukunft die öffentliche Ordnung und Sicherheit gefährden würde. Endlich sei seiner schweizerischen Ehefrau nicht zuzumuten, als europäisch erzogene Frau ihr künftiges Leben in Algerien zu verbringen, zumal sie dieses Land und seine Kultur nicht kenne und nur die französische, nicht aber die arabische Sprache beherrsche. Als Folge würde die intakte Ehe praktisch verunmöglicht. Aus der Sicht des von der Konvention geschützten Familienlebens sei diese Folge unverhältnismässig. b) Die Anwendung der Kriterien gemäss dieser Rechtsprechung des EGMR auf den vorliegenden Fall ergibt Folgendes: Der Beschwerdeführer 1 wurde nach einem dreijährigen Aufenthalt in der Schweiz verhaftet. Die gerichtliche Verurteilung erfolgte nach vier Jahren am 6. Juli 2000. Auf Grund einer Berufung, die in der Folge zurückgezogen wurde sowie seinen Verschiebungsgesuchen trat er den Strafvollzug erst am 4. Februar 2002 an. Die bedingte Entlassung erfolgte am 25. Dezember 2002 und seither ist er erwerbstätig. Sein Verhalten im Strafvollzug sowie seit der Entlassung ist nicht zu beanstanden. Die Zeit straflosen Verhaltens kann somit in der Grössenordnung von vier Jahren angenommen werden, während es im Fall Boultif sechs Jahre waren. Allerdings hat das Bundesgericht auf die Problematik hingewiesen, dass mit der Berücksichtigung des Strafvollzugs und der Bewährungszeit nach der Entlassung Straftäter mit langen Freiheitsstrafen bevorzugt würden, was nicht im Sinne des Gesetzes sein könne (vgl. BGr, 22. Oktober 2001, 2A.296/2001, www.bger.ch) . Es rechtfertigt sich deshalb, die Strafvollzugs- und Bewährungszeit eher zurückhaltend zu gewichten. Zu beachten ist allerdings, dass keine konkreten Hinweise bestehen, dass beim Beschwerdeführer 1 ein besonderes Rückfallrisiko vorläge. Der Regierungsrat befand, ein solches sei vorhanden, weil noch erhebliche Schulden offen seien. In der Beschwerde wird entgegnet, dass Kleinkreditschulden in der Grössenordnung von Fr. 14'000.- bestünden, welche dank den Erwerbseinkünften beider Ehegatten bereits hätten abgebaut werden können und deren Tilgung in nächster Zeit vorgesehen und möglich sei. Das Gericht vermag daher keinen genügenden Grund für eine konkrete Rückfallgefahr des Beschwerdeführers 1 zu erkennen. Wie bereits angeführt, heirateten die Eheleute in einem Zeitpunkt, als keine Zweifel über einen zukünftigen Verbleib in der Schweiz bestanden. Der Beschwerdeführer beging jedoch die Straftaten, als seine Ehefrau schwanger war, womit ihn der Vorwurf trifft, seine Verantwortung für die zukünftige Familie nicht wahrgenommen zu haben. Die Beschwerdeführerin 2 lehnt es ab, ihrem Gatten ins Ausland nachzufolgen, was sie damit begründet, dass sie in der Schweiz leben und ihre Tochter hier aufziehen möchte. Bei der Abwägung kann es indessen nicht auf ihren subjektiven Willen ankommen, sondern auf die objektive Zumutbarkeit. Ein Leben in der X kann für sie nicht als unzumutbar bezeichnet werden, auch wenn dies aufgrund des wirtschaftlichen Umfelds für die Familie mit Einbussen verbunden wäre. Die Landessprache ist V, welche der Beschwerdeführerin 2 nicht unbekannt ist. Die Bevölkerung ist vorwiegend katholisch und die Tourismuswirtschaft verzeichnet eine aufsteigende Tendenz. Der Beschwerdeführer 1 war früher als Animator in einem Hotel tätig, als er seine zukünftige Ehefrau kennen lernte. Zwar befindet sich die vierjährige Tochter in einem anpassungsfähigen Alter, wie der Regierungsrat festgestellt hat, doch stünde sie vor der Schwierigkeit, dass praktisch gleichzeitig mit dem Wegzug in eine fremde Umgebung ohne Angewöhnungszeit auch die Schule anfinge. Bei der Abwägung gelangt das Gericht zum Schluss, dass die Gewichtung im Licht von Art. 8 Abs. 1 und 2 EMRK und der angeführten Auslegung durch den EGMR zu Gunsten des Schutzes des Familienlebens ausfallen muss. Verschuldensmässig liegt ein Grenzfall vor. Allein von der gerichtlichen Bestrafung darf nicht leichtfertig auf eine künftige Gefahr für die öffentliche Ordnung und Sicherheit geschlossen werden. Konkrete Anzeichen für einen Rückfall sind nicht ersichtlich. Der Beschwerdeführer 1 hat sich seit der einmaligen kriminellen Betätigung bewährt und scheint gewillt, seiner Verantwortung gegenüber Familie und Gesellschaft nachzuleben. Weil im Gegensatz zum Vergleichsfall des EGMR auch die Zukunft und das Wohl eines Kinds neben demjenigen der Ehefrau zu beachten sind, erscheint eine Wegweisung des Beschwerdeführers 1 als unverhältnismässig. Da auf Grund von Art. 8 EMRK lediglich die Aufenthaltsbewilligung zu verlängern ist und eine Niederlassungsbewilligung nicht Gegenstand der Konvention ist, besteht für das Migrationsamt die Möglichkeit, die Voraussetzungen des Wohlverhaltens des Beschwerdeführers 1 gegenüber der Öffentlichkeit und seiner Familie jährlich neu zu überprüfen. 5. Die Beschwerdeführenden unterliegen mit ihrem Hauptantrag auf Erteilung der Niederlassungsbewilligung, dringen hingegen mit ihrem Eventualantrag durch. Die Kosten des Rekurs- und des Beschwerdeverfahrens sind den Parteien daher je hälftig aufzuerlegen (§ 13 Abs. 2 in Verbindung mit § 70 VRG). Die Beschwerdeführenden 1 und 2 haften für die Hälfte gemäss Gesetz solidarisch (§ 14 in Verbindung mit § 70 VRG; vgl. Alfred Kölz/Jürg Bosshart/Martin Röhl, Kommentar zum Verwaltungsrechtspflegegesetz des Kantons Zürich, 2. A., Zürich 1999, § 14 N. 3 f. ). Der Anspruch auf Parteientschädigung wird wett geschlagen (§ 17 Abs. 2 VRG). Demgemäss entscheidet die Kammer: 1.    Die Beschwerde wird teilweise gutgeheissen. Der Beschluss des Regierungsrats wird aufgehoben und die Beschwerdegegnerin angewiesen, dem Beschwerdeführer 1 die Aufenthaltsbewilligung zu verlängern. Im Übrigen wird die Beschwerde abgewiesen. 2.    Die Gerichtsgebühr wird festgesetzt auf Fr. 2'000.--;    die übrigen Kosten betragen: Fr.      60.--     Zustellungskosten, Fr. 2'060.--     Total der Kosten. 3.    Die Kosten für das Rekurs- und Beschwerdeverfahren werden den Parteien je zur Hälfte auferlegt, unter solidarischer Haftung der Beschwerdeführenden 1 und 2 für die Hälfte. 4.    Es wird keine Parteientschädigung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