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VB.2003.00061 vom 19. März 2003</w:t>
      </w:r>
    </w:p>
    <w:p>
      <w:r>
        <w:t>ZH Verwaltungsgericht, 2003-03-19, DE</w:t>
      </w:r>
    </w:p>
    <w:p>
      <w:r>
        <w:rPr>
          <w:b/>
        </w:rPr>
        <w:t xml:space="preserve">Quelle: </w:t>
      </w:r>
      <w:r>
        <w:t>https://mcp.opencaselaw.ch/entscheid/zh_verwaltungsgericht__VB.2003.00061</w:t>
      </w:r>
    </w:p>
    <w:p>
      <w:r>
        <w:t>FR: ZH_VERWALTUNGSGERICHT VB.2003.00061 du 19 mars 2003</w:t>
      </w:r>
    </w:p>
    <w:p>
      <w:r>
        <w:t>IT: ZH_VERWALTUNGSGERICHT VB.2003.00061 del 19 marzo 2003</w:t>
      </w:r>
    </w:p>
    <w:p>
      <w:pPr>
        <w:pStyle w:val="Heading2"/>
      </w:pPr>
      <w:r>
        <w:t>Regeste</w:t>
      </w:r>
    </w:p>
    <w:p>
      <w:r>
        <w:t>Aufenthaltsbewilligung | Aufenthaltsbewilligung: Voraussetzungen des Anwesenheitsanspruchs aufgrund von Familienleben ausserhalb der Kernfamilie. Vorliegend kein Anspruch auf Nachzug der betagten Mutter bzw. Grossmutter. Der Schutzbereich der Garantie des Familienlebens ausserhalb der Kernfamilie im Allgemeinen und der daraus fliessende Anwesenheitsanspruch sind zu unterscheiden (E. 2). Vorliegen eines Anwesenheitsanspruchs verneint im Fall einer gesunden Mutter und Grossmutter, die im Heimatland mit der (mittlerweile in die Schweiz nachgezogenen) Familie des einen Sohns zusammenlebte, in der Schweiz aber zum andern Sohn ziehen würde (E. 3). Nichteintreten.</w:t>
      </w:r>
    </w:p>
    <w:p>
      <w:pPr>
        <w:pStyle w:val="Heading2"/>
      </w:pPr>
      <w:r>
        <w:t>Erwägungen</w:t>
      </w:r>
    </w:p>
    <w:p>
      <w:r>
        <w:rPr>
          <w:b/>
        </w:rPr>
        <w:t>E. 4</w:t>
      </w:r>
    </w:p>
    <w:p>
      <w:r>
        <w:t>Die Beschwerdeführenden verlangen ferner, es sei das Migrationsamt anzuweisen, ein allfälliges Einreisebegehren der Beschwerdeführerin 1 gutzuheissen. Aus der Beschwerdebegründung ergibt sich, dass mit diesem Antrag um eine vorsorgliche Massnahme ersucht wird. Unter anderm weil kein schwerer, wahrscheinlich eintretender Nachteil droh­te, lehnte der Präsident der 4. Abteilung mit Verfügung vom 24. Februar 2003 die Anordnung vorsorglicher Massnahmen ab. Im Übrigen könnte auf den genannten Beschwerdeantrag auch dann nicht eingetreten werden, wenn es sich um ein eigenständiges Begehren handeln würde. Im Gesuch vom 15. Januar 2002 um eine Einreisebewilligung für die Beschwerdeführerin 1, mit dem das vor­­liegende Verfahren eingeleitet wurde, gab der Beschwerdeführer 2 in der Rubrik "Gewünschte Aufenthaltsdauer" an: "immer", und unter "Einreisezweck": "Keine Familienange­hörige mehr in X". Materiell lag demnach ein Gesuch um eine Auf­ent­haltsbewilligung vor. Insoweit fiele ein Gesuch um eine Einreisebewilligung mit dem hier geprüften Begehren nach einer Aufenthaltsbewilligung zusammen und könnte aus den oben ausgeführten Gründen nicht an die Hand genommen werden. Wenn sich der betreffen­­de Antrag aber (auch) auf künftige Einreisegesuche zwecks vorübergehender Anwesenheit (etwa für Besuche) bezöge, könnte auf ihn bereits deshalb nicht eingetreten werden, weil ein Anfechtungs­objekt fehlte (vgl. § 41 VRG).</w:t>
      </w:r>
    </w:p>
    <w:p>
      <w:r>
        <w:rPr>
          <w:b/>
        </w:rPr>
        <w:t>E. 5</w:t>
      </w:r>
    </w:p>
    <w:p>
      <w:r>
        <w:t>Ausgangsgemäss sind die Kosten den unterliegenden Beschwerdeführenden zu überbinden. Da offen geblieben ist, ob eine Vollmacht der Beschwerdeführerin 1 zur Beschwerdeerhebung vorliegt, sind die Kosten den Beschwerdeführern 2 und 3 je zur Hälfte aufzuerlegen (§ 70 in Verbindung mit § 13 Abs. 2 Satz 1 VRG). Nach § 14 VRG haften mehrere Beteiligte, die dasselbe Begehren gestellt haben, für die ihnen auferlegten Kosten solidarisch, soweit sich dies aus dem zwischen ihnen bestehenden Rechtsverhältnis ergibt; das Verwaltungsgericht nimmt daher Solidarhaftung an, wenn sich mehrere Private zur Ein­reichung einer Beschwerde zusammentun, weil dadurch eine einfache Gesellschaft entsteht (VGr, 19. März 2003, VB.2002.00405, E. 4, www.vgrzh.ch/rechtsprechung; RB 1996 Nr. 9). Eine Parteientschädigung bleibt den Beschwerdeführenden aufgrund ihres Unterliegens verwehrt (§ 17 Abs. 2 VRG).</w:t>
      </w:r>
    </w:p>
    <w:p>
      <w:r>
        <w:rPr>
          <w:b/>
        </w:rPr>
        <w:t>E. 6</w:t>
      </w:r>
    </w:p>
    <w:p>
      <w:r>
        <w:t>Indem das Gericht vom Fehlen eines Anspruchs auf eine Aufenthaltsbe­willigung ausgegangen ist, hat es zur Frage der Zulässigkeit der Verwaltungsgerichtsbe­schwerde an das Bundesgericht bereits verneinend Stellung bezogen. Die allfällige Verlet­zung eines be­haup­teten Anspruchs wäre trotzdem im Verfahren der Verwaltungsgerichtsbeschwerde zu rügen (BGE 127 II 161 E. 1b; siehe ferner E. 3b hin­sichtlich der Rüge einer Verletzung von Verfahrensgarantien durch den vorangegangenen kantonalen Sachentscheid).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