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VB.2002.00155 vom 3. Juli 2002</w:t>
      </w:r>
    </w:p>
    <w:p>
      <w:r>
        <w:t>ZH Verwaltungsgericht, 2002-07-03, DE</w:t>
      </w:r>
    </w:p>
    <w:p>
      <w:r>
        <w:rPr>
          <w:b/>
        </w:rPr>
        <w:t xml:space="preserve">Quelle: </w:t>
      </w:r>
      <w:r>
        <w:t>https://mcp.opencaselaw.ch/entscheid/zh_verwaltungsgericht__VB.2002.00155</w:t>
      </w:r>
    </w:p>
    <w:p>
      <w:r>
        <w:t>FR: ZH_VERWALTUNGSGERICHT VB.2002.00155 du 3 juillet 2002</w:t>
      </w:r>
    </w:p>
    <w:p>
      <w:r>
        <w:t>IT: ZH_VERWALTUNGSGERICHT VB.2002.00155 del 3 luglio 2002</w:t>
      </w:r>
    </w:p>
    <w:p>
      <w:pPr>
        <w:pStyle w:val="Heading2"/>
      </w:pPr>
      <w:r>
        <w:t>Regeste</w:t>
      </w:r>
    </w:p>
    <w:p>
      <w:r>
        <w:t>Baubewilligung | Beschwerdelegitimation beim Bau von Mobilfunkanlagen Zur Erhebung eines Rekurses bzw. einer Beschwerde gegen eine Mobilfunkanlage berechtigt sind diejenigen Personen, die in einer Entfernung zur Anlage wohnen, wo die Strahlung noch 10% des Anlagegrenzwertes betragen kann. Bei der Ermittlung des hierfür massgeblichen Radius ist auf die von der Berner Bau-, Verkehrs- und Energiedirektion verwendete Berechnungsformel abzustellen, welche nur die Strahlung in der Hauptstrahlrichtung berücksichtigt (E. 1a). Die Beschwerdeführerinnen, die 330 m bzw. 490 m vom Antennenstandort entfernt sind, sind demnach zu Rekurs und Beschwerde berechtigt. Rückweisung an die Vorinstanz zur Neubeurteilung (E. 1b). Die private Beschwerdegegnerin musste angesichts der bereits feststehenden Bundesgerichtspraxis zur Legitimationsfrage damit rechnen, dass die Beschwerde gutgeheissen wird, womit kein Anlass besteht, von der Regel der Kostenverteilung abzuweichen (E. 2a). Entschädigungsfolgen (E. 2b).</w:t>
      </w:r>
    </w:p>
    <w:p>
      <w:pPr>
        <w:pStyle w:val="Heading2"/>
      </w:pPr>
      <w:r>
        <w:t>Erwägungen</w:t>
      </w:r>
    </w:p>
    <w:p>
      <w:r>
        <w:rPr>
          <w:b/>
        </w:rPr>
        <w:t>E. 1</w:t>
      </w:r>
    </w:p>
    <w:p>
      <w:r>
        <w:t>Gemäss § 338a Abs. 1 des Planungs- und Baugesetzes vom 7. September 1975 (PBG) ist zum Rekurs berechtigt, wer durch die angefochtene Anordnung berührt ist und ein schutzwürdiges Interesse an ihrer Aufhebung oder Änderung hat. Gemäss ständiger Praxis der Vorinstanz liegen die von Mobilfunkstationen ausgehenden maximalen Feldstärken ab 200–220 m im immissionsrechtlich nicht mehr relevanten Minimalbereich. Folg­lich seien die von der geplanten Mobilfunkstation 330 m bzw. 490 m entfernten Beschwerdeführerinnen nicht legitimiert, womit auf den erhobenen Rekurs nicht einzutreten sei. – Die Beschwerdeführerinnen halten dieser Argumentation die neuere bundesgerichtliche Rechtsprechung zur Bestimmung des Kreises der Beschwerdeberechtigten bei Mobilfunkanlagen entgegen. a) Gemäss der Praxis des Bundesgerichts sind grundsätzlich jene Personen zur Verwaltungsgerichtsbeschwerde gegen den Bau von Mobilfunkantennen legitimiert, die in der ”näheren Umgebung” einer projektierten Anlage wohnen und damit durch die Strahlen­belas­tung stärker als jedermann betroffen sind (BGer, 30. August 2000, 1A.94/2000, in BGE 126 II 399 nicht abgedruckte E. 1a, zusammengefasst in URP 2000, S. 602, 605). Jene Personen sind infolgedessen auch zur Beschwerde an das kantonale Verwaltungsgericht (Art. 98a Abs. 3 des Bundesrechtspflegegesetzes vom 16. Dezember 1943 [OG]) und zur Rekurserhebung legitimiert (§ 338a Abs. 1 PBG). Bei der Bestimmung des Umfangs der ”näheren Umgebung” ist auf die Verordnung vom 23. Dezember 1999 über den Schutz vor nichtionisierender Strahlung (NISV) abzustel­­len. Danach müssen neue Anlagen im massgebenden Betriebszustand an Orten mit empfind­licher Nutzung den Anlagegrenzwert (AGW) einhalten (Anhang 1 Ziff. 15 Abs. 1 NISV; Bemessung in Volt pro Meter, V/m, vgl. Anhang 1 Ziff. 64 NISV). Dieser berücksichtigt als Emissionsgrenzwert das Vorsorgeprinzip (Art. 11 Abs. 2 des Bundesgesetzes vom 7. Oktober 1983 über den Umweltschutz [USG]) und liegt deutlich tiefer als der Immissionsgrenzwert (10 % des Anlagegrenzwertes entsprechen rund 1 % des Immissionsgrenzwertes). Wird für einen Standort eine Strahlenbelastung berechnet, die weniger als 10 % des Anlagegrenzwertes ausmacht, geht sie fast vollständig in der Hintergrundbelas­tung auf. Für die betroffene Person bewirkt dies eine nur sehr geringe bis gar keine zusätzliche Belastung. Damit fehlt es ihr an der für die Legitimation erforderlichen speziellen Be­troffenheit. – Der Kreis der Beschwerdeberechtigten lässt sich anhand der folgenden Formel berechnen (Bau-, Verkehrs- und Energiedirektion des Kantons Bern, Entscheid vom 12. Dezember 2000, Bernische Verwaltungsrechtsprechung 2001, S. 252, 258; Irene Graf/ Jean-Luc Niklaus, Mobilfunkanlagen – Beschwerderecht der Nachbarn, Bulletin der kantonalen Planungsgruppe Bern 1/2001, S. 29, 34, http://www.bve.be.ch): d Distanz in Metern zwischen der Antenne und den Punkten, bei denen die Strahlung 10 % des Anlagegrenzwertes erreicht. Alle Personen innerhalb des Radius d werden zur Beschwerde zugelassen. ERP Äquivalente Strahlungsleistung der leistungsstärksten Antenne in Watt (Art. 3 Abs. 9 NISV). Strahlen mehrere Antennen in dieselbe Richtung, sind ihre Leis­tungen zusammenzurechnen. AGW Anlagegrenzwert in V/m (Anhang 1 Ziff. 64 NISV) Diese vorsichtige Berechnungsweise berücksichtigt die maximal in der Hauptstrah­lungsrichtung zu erwartende Strahlung. Es geht bei ihr ausschliesslich darum, den Kreis der­jenigen Personen zu bestimmen, die von der Anlage mehr als jedermann betroffen sind; dieser Kreis darf aus Praktikabilitätsgründen nicht von komplexen Berechnungen im Einzelfall abhängen (BGer, 24. Oktober 2001, 1A.62/2001, 1P.264/2001, in BGE 128 I 59 nicht veröffentlichte E. 1b; BGer, 25. Februar 2002, 1A.142/2001, E. 2.3, URP 2002, S. 108, 111 f., wobei die Formel dort allerdings unrichtig wiedergegeben wurde; BGer, 8. April 2002, 1A.196/2001, E. 2, http://www.bger.ch). Es ist fraglich, ob diese Methode auch dann für die Bestimmung der Legitimation ausschlaggebend sein sollte, wenn ein Be­schwerdeführer genau in der entgegengesetzten Richtung des Hauptstrahls wohnt (oder in vertikaler Hinsicht durch die Strahlung gar nicht betroffen werden kann) und zugleich Strah­lungsbelastungen geltend macht, die an einem ganz anderen Ort auftreten. In solchen Fällen könnte sich die Legitimationsberechnung der Popularbeschwerde annähern, weil die Beschwerdebefugnis dann nicht mehr an das Rechtsschutzinteresse anknüpfen würde und kaum mehr ein individueller Bezug zur Streitsache hergestellt werden könnte (vgl. Isabelle Häner, Die Beteiligten im Verwaltungsverfahren und Verwaltungsprozess, Zürich 2000, Rz. 564, 571; ferner die Befürchtungen der privaten Beschwerdegegnerin sowie der Vorinstanz ). Die Frage braucht hier aber nicht entschieden zu werden, da sich beide Beschwerdeführerinnen in der Hauptstrahlrichtung befinden und die Be­schwerdeführerin 1 selbst nach bisheriger Praxis des Verwaltungsgerichts legitimiert wäre (vgl. RB 2000 Nr. 9 = BEZ 2000 Nr. 53; VGr., 26. September 2001, VB.2001.00129, E. 2a, http://www.vgrzh.ch/recht­spre­chung). b) Im vorliegenden Fall handelt es sich um eine Mobilfunkanlage mit 6 Antennen auf einem Masten (Standortdatenblatt der Beschwerdegegnerin 2; vorinstanzliche Akten). Die An­tennen A1–A3 senden mit einer äquivalenten Strahlungsleis­tung (ERP) von 1'100 W, die Antennen A4–A6 mit 1'200 W. Je zwei Antennen strahlen jeweils in dieselbe Richtung (Azimut in Grad von N – A1/A4: 80°; A2/A5: 180°; A3/A6: 270°). Ih­re Strahlungsleistungen sind nach der obigen Berechnungsmethode folglich zusammenzurechnen ( ERP: 1'100 W + 1'200 W = 2'300 W ). Da die Anlage sowohl im Frequenzbereich von 900 MHz als auch 1'800 MHz sendet, beträgt der Anlagegrenzwert (AGW) gemäss An­hang 1 Ziff. 64 lit. c NISV 5,0 V/m . Die Formel ist somit wie folgt zu ergänzen: Der Arbeitsort der Beschwerdeführerin 1 liegt als Ort mit empfindlicher Nutzung (Art. 3 Abs. 3 lit. a NISV) mit einem Abstand von 330 m ohne weiteres innerhalb des für die Rekurs- und Beschwerdelegitimation massgeblichen Radius. Dasselbe gilt für das Wohn­­haus der Beschwerdeführerin 2 (Entfernung: 490 m). Die Vorinstanz hat die Rekursbefugnis der Beschwerdeführerinnen somit zu Unrecht verneint. Die Beschwerde ist folglich gutzuheissen und die Sache zur Neubeurteilung an die Vorinstanz zurückzuweisen.</w:t>
      </w:r>
    </w:p>
    <w:p>
      <w:r>
        <w:rPr>
          <w:b/>
        </w:rPr>
        <w:t>E. 2</w:t>
      </w:r>
    </w:p>
    <w:p>
      <w:r>
        <w:t>lit. a VRG). Als angemessen erweisen sich insgesamt Fr. 1'000.-. Demgemäss entscheidet die Kammer: 1.    Die Beschwerde wird gutgeheissen und der Entscheid der Baurekurskommission III vom 3. April 2002 aufgehoben. Die Sache wird zur Neubeurteilung an die Vorinstanz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