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VB.2002.00119 vom 12. September 2002</w:t>
      </w:r>
    </w:p>
    <w:p>
      <w:r>
        <w:t>ZH Verwaltungsgericht, 2002-09-12, DE</w:t>
      </w:r>
    </w:p>
    <w:p>
      <w:r>
        <w:rPr>
          <w:b/>
        </w:rPr>
        <w:t xml:space="preserve">Quelle: </w:t>
      </w:r>
      <w:r>
        <w:t>https://mcp.opencaselaw.ch/entscheid/zh_verwaltungsgericht__VB.2002.00119</w:t>
      </w:r>
    </w:p>
    <w:p>
      <w:r>
        <w:t>FR: ZH_VERWALTUNGSGERICHT VB.2002.00119 du 12 septembre 2002</w:t>
      </w:r>
    </w:p>
    <w:p>
      <w:r>
        <w:t>IT: ZH_VERWALTUNGSGERICHT VB.2002.00119 del 12 settembre 2002</w:t>
      </w:r>
    </w:p>
    <w:p>
      <w:pPr>
        <w:pStyle w:val="Heading2"/>
      </w:pPr>
      <w:r>
        <w:t>Regeste</w:t>
      </w:r>
    </w:p>
    <w:p>
      <w:r>
        <w:t>Baubewilligungen und Ausnahmebewilligungen nach Art. 24 RPG | Geländeveränderungen in der Landwirtschaftszone Da die Anforderungen an die Beschwerdeschrift knapp erfüllt sind, ist auf das Rechtsmittel einzutreten (E. 1). Die geplanten Massnahmen sind bewilligungspflichtig ungeachtet, ob eine Bodenverbesserung angestrebt wird (E. 2). Die Aufschüttungen sind für die landwirtschaftliche Nutzung nicht notwendig und somit nicht zonenkonform (E. 3a). Die Voraussetzungen für eine Ausnahmebewilligung sind ebenso wenig erfüllt (E. 3b).</w:t>
      </w:r>
    </w:p>
    <w:p>
      <w:pPr>
        <w:pStyle w:val="Heading2"/>
      </w:pPr>
      <w:r>
        <w:t>Erwägungen</w:t>
      </w:r>
    </w:p>
    <w:p>
      <w:r>
        <w:rPr>
          <w:b/>
        </w:rPr>
        <w:t>E. 3</w:t>
      </w:r>
    </w:p>
    <w:p>
      <w:r>
        <w:t>a) Gemäss Art. 16a Abs. 1 RPG sind Bauten und Anlagen in der Landwirtschafts­zone zonenkonform, wenn sie zur landwirtschaftlichen Bewirtschaftung oder für den produzierenden Gartenbau nötig sind. Die Beschwerdeführenden zeigen in keiner Weise auf, weshalb die von ihnen geplanten Massnahmen aus landwirtschaftlichen Gründen notwendig sein soll­ten. In formeller Hinsicht ist darauf hinzuweisen, dass der Verweis der Beschwerdeführenden auf die im vorinstanzlichen Verfahren gemachten Eingaben unzulässig ist, wenn sich die Re­kursinstanz wie vorliegend einlässlich mit diesen Eingaben und den Bewilligungsvoraussetzungen auseinandergesetzt hat (Alfred Kölz/Jürg Bosshart/Martin Röhl, Kommentar zum Ver­­waltungsrechtspflegegesetz des Kantons Zürich, 2. A., Zürich 1999, § 54 N. 7). Im Übrigen ergibt sich eine sachliche Notwendigkeit für die geplanten Massnahmen auch nicht aus den Eingaben der Beschwerdeführenden im vorinstanzlichen Verfahren. Die Tatsache, dass die Grundstücke Kat.-Nr. 01/02 steinig sind und sich nicht für jede Form von landwirtschaft­li­cher Nutzung eignen, mag Bodenverbesserungsmassnah­men sinnvoll erscheinen las­sen. In­dessen verbessert die Aufschüttung von Land nicht die Qualität des vorhandenen Bo­dens. Hier­für wäre es nach den soweit einleuchtenden Ausführungen des kantonalen Amtes für Landschaft und Natur zweckmässiger, die störenden Steine herauszulesen oder zu brechen. Die Beschwerdeführenden bestreiten überdies nicht, dass sich die Grundstücke Kat.‑Nr. 01/02 für Futter- bzw. Getreidebau eignen. Eine den na­türlichen Gegeben­heiten entsprechende und landwirtschaftlich sinnvolle Nutzung ist da­her möglich. Erst recht gilt dies für Kat.-Nr. 03, wo auch ein vielseitiger Ackerbau stattfinden kann. Die geplanten Mass­nahmen erscheinen daher nicht als nötig für die landwirtschaftliche Bewirtschaftung; sie sind somit nicht zonenkonform in Sinne von Art. 16a Abs. 1 RPG. Damit entfällt die Möglichkeit, das Vorhaben nach Art. 22 RPG zu bewilligen. Unter diesen Umständen kann offen bleiben, ob die Bewilligung auch deshalb zu verwei­gern wäre, weil die Auffüllungen gegen eidgenössisches Um­weltschutzrecht verstos­sen. b) Der Regierungsrat hat im angefochtenen Entscheid zutreffend dargelegt, dass eine Bewilligung gemäss den Art. 24 ff. RPG ebenfalls nicht in Frage kommt, weil das Vorhaben weder standortgebunden ist noch sonst die gesetzlichen Voraussetzungen für eine Aus­­nahmebewilligung ausserhalb der Bauzone erfüllt. Überdies würden die Geländeveränderungen in der inventarisierten Landschaft stören; einer Ausnahmebewilligung stehen da­her erhebliche und in diesem Fall überwiegende Interessen entgegen. Auf diese überzeugen­­den Erwägungen, denen die Beschwerdeführenden nichts Konkretes entgegenhalten, ist zu verweisen (§ 28 Abs. 1 in Verbindung mit § 70 VRG). Weitere Ausführungen hierzu er­übrigen sich. c) Die Beschwerdeführenden bringen auch sonst nichts vor, was zur Gutheissung ihrer Beschwerde führen könnte. Zu entscheiden ist nicht, ob Bodenverbesserungen wie Drainagen, Bewässerungsanlagen, Rigolen oder die Anpassung lebensgefährlicher Borde zulässig sind, da nichts davon Gegenstand des zu beurteilenden Baugesuches darstellt. Die tatsächlich geplanten Auffüllungen sind widerrechtlich und können nicht bewilligt werden.</w:t>
      </w:r>
    </w:p>
    <w:p>
      <w:r>
        <w:rPr>
          <w:b/>
        </w:rPr>
        <w:t>E. 4</w:t>
      </w:r>
    </w:p>
    <w:p>
      <w:r>
        <w:t>...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