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VB.2002.00082 vom 27. März 2002</w:t>
      </w:r>
    </w:p>
    <w:p>
      <w:r>
        <w:t>ZH Verwaltungsgericht, 2002-03-27, DE</w:t>
      </w:r>
    </w:p>
    <w:p>
      <w:r>
        <w:rPr>
          <w:b/>
        </w:rPr>
        <w:t xml:space="preserve">Quelle: </w:t>
      </w:r>
      <w:r>
        <w:t>https://mcp.opencaselaw.ch/entscheid/zh_verwaltungsgericht__VB.2002.00082</w:t>
      </w:r>
    </w:p>
    <w:p>
      <w:r>
        <w:t>FR: ZH_VERWALTUNGSGERICHT VB.2002.00082 du 27 mars 2002</w:t>
      </w:r>
    </w:p>
    <w:p>
      <w:r>
        <w:t>IT: ZH_VERWALTUNGSGERICHT VB.2002.00082 del 27 marzo 2002</w:t>
      </w:r>
    </w:p>
    <w:p>
      <w:pPr>
        <w:pStyle w:val="Heading2"/>
      </w:pPr>
      <w:r>
        <w:t>Regeste</w:t>
      </w:r>
    </w:p>
    <w:p>
      <w:r>
        <w:t>Widerruf der probeweisen Entlassung aus dem Massnahmenvollzug (Entzug der aufschiebenden Wirkung) | Beschwerde gegen einen Zwischenentscheid der Vorinstanz, womit die Wiederherstellung der durch den Beschwerdegegner entzogenen aufschiebenden Wirkung des Rekurses abgelehnt und die durch den Beschwerdegegner angeordnete vorsorgliche Einweisung des Beschwerdeführers in ein Bezirksgefängnis bestätigt wurde. Nichteintreten. Frage von grundsätzlicher Bedeutung: Kammerzuständigkeit gemäss § 38 Abs. 3 VRG (E. 1). Grundsätzliche Zulässigkeit von Beschwerden gegen die Rückversetzung in den Massnahmenvollzug gemäss Art. 45 Ziff. 3 Abs. 5 StGB (E. 2b). Hier liegt eine Zwischenverfügung vor (E. 2c). Anfechtbarkeit einer auf kantonales Recht gestützten Zwischenverfügung? Vorliegend im Lichte der bundesgerichtlichen Praxis verneint (E. 3). Unzulässigkeit der Beschwerde gegen eine vorsorgliche Einweisung in ein Bezirksgefängnis (E. 4). Nichteintreten auf die Beschwerde aufgrund von § 43 Abs. 1 lit. g VRG (E. 5).</w:t>
      </w:r>
    </w:p>
    <w:p>
      <w:pPr>
        <w:pStyle w:val="Heading2"/>
      </w:pPr>
      <w:r>
        <w:t>Erwägungen</w:t>
      </w:r>
    </w:p>
    <w:p>
      <w:r>
        <w:rPr>
          <w:b/>
        </w:rPr>
        <w:t>E. 4</w:t>
      </w:r>
    </w:p>
    <w:p>
      <w:r>
        <w:t>a) Angefochten wird mit der Beschwerde sodann die von der Vorinstanz geschützte vorsorgliche Einweisung in ein Bezirksgefängnis. Diese Massnahme erfolgte eben­falls in Anwendung kantonalen Rechts: Gemäss § 23 Abs. 1 des kantonalen Straf‑ und Vollzugsgesetzes vom 30. Juni 1974 (StVG) ist eine vollstreckbare Freiheitsstrafe oder frei­heitsentziehende Massnahme sofort zu vollziehen, wenn Fluchtgefahr oder eine erhebliche Gefährdung des Massnahmezweckes oder der Öffentlichkeit besteht. In diesen Fällen kann die Vollzugsbehörde den Verurteilten vor der Einweisung in eine Vollzugsanstalt in Sicherheitshaft setzen (§ 24 StVG). Ausserdem verweisen die Vollzugsbehörden auf § 11 Abs. 2 lit. c der Justizvollzugsverordnung vom 24. Oktober 2001, wonach Verurteilte bis zu ihrer Überführung in die entsprechende Anstalt oder zum Vollzug einer Strafe oder einer Reststrafe von höchstens einem Jahr Dauer in die Gefängnisbetriebe aufgenommen werden können. b) Gemäss Rechtsprechung des Verwaltungsgerichts ist dieses für Beschwerden gegen Anordnungen, welche in Anwendung der §§ 23 und 24 StVG ergehen, mangels Zulässigkeit der eidgenössischen Verwaltungsgerichtsbeschwerde nicht zuständig (VGr, 28. April 2000, VB.2000.00080; RB 1997 Nr. 111). Es bestehen denn auch keine bundesrechtlichen Bestimmungen, die sich in dieser Beziehung zum Straf- und Massnahmenvollzug äussern. Die einstweilige Einweisung des Beschwerdeführers in ein Bezirksgefängnis ist als Sicherungsmassnahme auch nicht geeignet, Bundesrecht zu verletzen oder zu vereiteln. Es kann diesbezüglich auf obige Ausführungen betreffend den Entzug der aufschiebenden Wirkung verwiesen werden (E. 3b). Mithin ist auch für die Frage der vorsorglichen Einweisung des Beschwerdeführers in ein Bezirksgefängnis von der Unzulässigkeit der Ver­waltungsgerichtsbeschwerde ans Bundesgericht auszugehen.</w:t>
      </w:r>
    </w:p>
    <w:p>
      <w:r>
        <w:rPr>
          <w:b/>
        </w:rPr>
        <w:t>E. 5</w:t>
      </w:r>
    </w:p>
    <w:p>
      <w:r>
        <w:t>Ist gegen den angefochtenen Entscheid die Verwaltungsgerichtsbeschwerde ans Bundesgericht nicht gegeben, bleibt es bei der Unzuständigkeit des Verwaltungsgerichts gemäss § 43 Abs. 1 lit. g VRG. Auf die Beschwerde ist nicht einzutreten. Eine Überweisung der Sache an den Regierungsrat nach § 70 in Verbindung mit §§ 5 Abs. 2 Satz 1 und 19b Abs. 1 VRG fällt ausser Betracht, weil der vor­instanzliche Rekursentscheid laut § 27 Abs. 2 StVG endgültig ist (vgl. Bea Rotach-Tomschin, Die Revision des Zürcher Verwaltungsrechtspflegegesetzes, ZBl 98/1997, S. 433 ff., 457; Reto Surber, Das Recht der Strafvollstreckung, Zürich 1998, S. 353 f.).</w:t>
      </w:r>
    </w:p>
    <w:p>
      <w:r>
        <w:rPr>
          <w:b/>
        </w:rPr>
        <w:t>E. 6</w:t>
      </w:r>
    </w:p>
    <w:p>
      <w:r>
        <w:t>Zwar unterliegt der Beschwerdeführer im Sinn von § 70 in Verbindung mit § 13 Abs. 2 Satz 1 VRG. Weil indes die Vorinstanz zu Unrecht eine Rechtsmittelbelehrung gegeben hat, rechtfertigt es sich, die Gerichtskosten auf die Gerichtskasse zu nehmen (Alfred Kölz/Jürg Bos­shart/Martin Röhl, Kommentar zum Verwaltungsrechtspflegegesetz des Kantons Zürich, 2. A., Zürich 1999, § 13 N. 23 und 27). Anspruch auf eine Parteientschädigung hat der Beschwerdeführer nicht. Im Übrigen wird er seinen Aufwand vor Verwaltungsgericht weiter zu nutzen vermögen, falls er sich zur Erhebung einer staatsrechtlichen Beschwerde entschliessen sollte. Alsdann müsste er beim Bundesgericht gegebenenfalls um Fristwieder­herstellung ersuchen (vgl. Art. 89 Abs. 1 in Verbindung mit Art. 34 Abs. 1 lit. a und Art. 35 Abs. 1 OG; Jean-François Poud­ret, Commentaire de la loi fédérale d'organisation judiciaire, Bd. I, Bern 1990, Art. 34 N. 3 und Art. 35 N. 2.7 S. 247 Ziff.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