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VB.2001.00375 vom 10. April 2002</w:t>
      </w:r>
    </w:p>
    <w:p>
      <w:r>
        <w:t>ZH Verwaltungsgericht, 2002-04-10, DE</w:t>
      </w:r>
    </w:p>
    <w:p>
      <w:r>
        <w:rPr>
          <w:b/>
        </w:rPr>
        <w:t xml:space="preserve">Quelle: </w:t>
      </w:r>
      <w:r>
        <w:t>https://mcp.opencaselaw.ch/entscheid/zh_verwaltungsgericht__VB.2001.00375</w:t>
      </w:r>
    </w:p>
    <w:p>
      <w:r>
        <w:t>FR: ZH_VERWALTUNGSGERICHT VB.2001.00375 du 10 avril 2002</w:t>
      </w:r>
    </w:p>
    <w:p>
      <w:r>
        <w:t>IT: ZH_VERWALTUNGSGERICHT VB.2001.00375 del 10 aprile 2002</w:t>
      </w:r>
    </w:p>
    <w:p>
      <w:pPr>
        <w:pStyle w:val="Heading2"/>
      </w:pPr>
      <w:r>
        <w:t>Regeste</w:t>
      </w:r>
    </w:p>
    <w:p>
      <w:r>
        <w:t>Baubewilligung | Die Änderung einer vorschriftswidrigen Baute ist nicht schon dann unzulässig, wenn, ohne dass zusätzlich gegen die verletze Norm verstossen wird, die durch diese Norm geschützten Rechtsgüter stärker beeinträchtigt werden (Beispiel: Aufstockung einer gegen Abstandsvorschriften verstossenden Baute). Entscheidend ist, ob der Änderung nicht überwiegende öffentliche oder nachbarliche Interessen entgegenstehen. Einer Ausnahmebewilligung bedarf es jedenfalls bei neuen oder weitergehenden Abweichungen. Auslegung von § 357 PBG nach der Revision von 1991 (E. 2b+c). In casu stehen der Aufstockung des den Grenzabstand verletzenden Gebäudes überwiegende nachbarliche Interessen entgegen (E. 2d). Abweisung.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Einfamilienhaus Kat.Nr. 1, P-weg, das durch ein steileres Satteldach ein zu Wohnzwecken nutzbares Dachgeschoss erhalten soll, hält mit seiner Nord­west­ecke gegenüber der Achse der Wegparzelle Kat.Nr. 3 statt der gemäss Art. 33 in Verbin­dung mit Art. 19 Abs. 1 der Bau- und Zonenordnung vom 5. Dezember 1994 (BZO) ge­botenen 7 m lediglich einen Abstand von ca. 2,85 m ein. Damit stellt das Bauvorhaben eine Änderung an einer vorschriftswidrigen Baute dar, die nur unter den Voraussetzungen von § 357 Abs. 1 PBG bewilligt werden kann.</w:t>
      </w:r>
    </w:p>
    <w:p>
      <w:r>
        <w:rPr>
          <w:b/>
        </w:rPr>
        <w:t>E. 2</w:t>
      </w:r>
    </w:p>
    <w:p>
      <w:r>
        <w:t>. Nach den Berechnungen der Beschwerdeführenden wird das geplante steilere Satteldach das Bauvolumen im Abstandsbereich um 14,3 m</w:t>
      </w:r>
    </w:p>
    <w:p>
      <w:r>
        <w:rPr>
          <w:b/>
        </w:rPr>
        <w:t>E. 3</w:t>
      </w:r>
    </w:p>
    <w:p>
      <w:r>
        <w:t>Damit ist die Beschwerde als im Ergebnis unbegründet abzuweisen. ... Demgemäss entscheidet die Kammer: 1.    Die Beschwerde wird abgewiesen. 2.    ...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