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VB.2001.00360 vom 17. Februar 2000</w:t>
      </w:r>
    </w:p>
    <w:p>
      <w:r>
        <w:t>ZH Verwaltungsgericht, 2000-02-17, DE</w:t>
      </w:r>
    </w:p>
    <w:p>
      <w:r>
        <w:rPr>
          <w:b/>
        </w:rPr>
        <w:t xml:space="preserve">Quelle: </w:t>
      </w:r>
      <w:r>
        <w:t>https://mcp.opencaselaw.ch/entscheid/zh_verwaltungsgericht__VB.2001.00360</w:t>
      </w:r>
    </w:p>
    <w:p>
      <w:r>
        <w:t>FR: ZH_VERWALTUNGSGERICHT VB.2001.00360 du 17 février 2000</w:t>
      </w:r>
    </w:p>
    <w:p>
      <w:r>
        <w:t>IT: ZH_VERWALTUNGSGERICHT VB.2001.00360 del 17 febbraio 2000</w:t>
      </w:r>
    </w:p>
    <w:p>
      <w:pPr>
        <w:pStyle w:val="Heading2"/>
      </w:pPr>
      <w:r>
        <w:t>Regeste</w:t>
      </w:r>
    </w:p>
    <w:p>
      <w:r>
        <w:t>Submission | Vergabe von Ingenieurarbeiten (Gemeindeingenieur für Entwässerung) Anwendbares Recht (E. 1). Legitimation (E. 2). Akteneinsicht: Beschränkte Einsicht in verwaltungsinterne Unterlagen. Herausgabe von Berichten eines beigezogenen Experten zur Klärung von dessen behaupteter Voreingenommenheit? Frage offen gelassen (E. 3). Unzulässige Absprache mit Anbietenden? Frage offen gelassen (E. 4). Ermessen der Vergabebehörde bei der Beurteilung der Angebote (E. 5a). Bei der Beurteilung des Zuschlagskriteriums "Qualität" darf die Vergabebehörde grundsätzlich auf Angaben abstellen, die von den Anbietenden für die Präqualifikation eingereicht wurden (E. 5b und c). Nachträgliche Begründung des Vergabeentscheids: Ergänzung einer ungenügenden Begründung grundsätzlich nur mit der Beschwerdeantwort zulässig und nicht erst im Rahmen eines zweiten Schriftenwechsels (E. 5d). Unzureichende Begründung des Vergabeentscheids (E. 5e). Preis und Wirtschaftlichkeit bei Dienstleistungsaufträgen: Stundentarife; Zeitaufwand für die Anfahrt (Berücksichtigung der Distanz zum Einsatzort; E. 5f); Mehraufwand durch den Einsatz weniger qualifizierter Sachbearbeiter (E. 5g). Bindung an die bekannt gegebenen Zuschlagskriterien; Vertrauensschutz (E. 5g). Aufgrund der Neuberechnung erzielt die Beschwerdeführerin das beste Resultat (E. 5h). Gutheissung der Beschwerde (E. 5i). Kosten- und Entschädigungsfolgen (E. 6).</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Kölz/Bosshart/Röhl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Ein nicht berücksichtigter Anbieter ist zur Beschwerde gegen den Vergabeent­scheid legitimiert, wenn er bei deren Gutheissung eine realistische Chance hat, mit dem eigenen Angebot zum Zug zu kommen, oder wenn die Gutheissung zu einer Wiederholung des Submissionsverfahrens führt, bei welcher er ein neues Angebot einreichen kann. An­dernfalls fehlt ihm das schutzwürdige Interesse an der Beschwerdeführung (RB 1999 Nr. 18 = BEZ 1999 Nr. 11). Vorliegend hat die Be­schwer­de­füh­re­rin gemäss der Begrün­dung des angefochtenen Ent­scheids nur das drittbeste Resultat erzielt. Mit den in der Be­schwer­de erhobenen Rügen stellt sie jedoch unter anderem diese Bewertung in Frage, wozu sie ohne weiteres legitimiert ist.</w:t>
      </w:r>
    </w:p>
    <w:p>
      <w:r>
        <w:rPr>
          <w:b/>
        </w:rPr>
        <w:t>E. 3</w:t>
      </w:r>
    </w:p>
    <w:p>
      <w:r>
        <w:t>a) Für die Ausarbeitung der Submissionsunterlagen und die Begleitung der Ver­gabe zog die Be­schwer­de­geg­nerin das Büro K bei. Die Be­schwer­de­füh­re­rin verlangt die Herausgabe der von diesem Büro erarbeiteten Unter­lagen sowie die Einvernahme von des­sen Sachbearbeiter M als Zeuge. Die Ge­meinde wendet dagegen ein, dass sie im Verlauf des Submissionsverfahrens habe feststel­len müssen, dass dieser Sachbearbeiter die Be­schwer­de­füh­re­rin unverhältnismässig stark bevorzuge. Den Grund dafür sieht sie darin, dass M Studienkollege eines Mit­glieds der Geschäftsleitung der Be­schwer­de­füh­re­rin gewe­sen sei. Der Gemeinderat habe daher die Bewertung der Zuschlagskriterien im Rahmen des ihm zustehenden Ermessens selber vorgenommen. – Die Be­schwer­de­füh­re­rin führt in der Replik zu diesen Vorwürfen aus, dass keines ihrer Geschäftsleitungsmitglieder Studien­kollege von M gewe­sen sei; hingegen sei ihr Projektleiter Siedlungsentwässerung mit M bekannt. Derartige Kontakte seien in der relativ kleinen und übersichtlichen Branche üb­lich. Nach­dem die Be­schwer­de­geg­nerin dies nicht bestritten habe, sei davon auszugehen, dass der beigezogene Ingenieur das Unternehmen der Be­schwer­de­füh­re­rin tatsächlich als gleich­wertig beurteilt habe, was der Be­schwer­de­geg­nerin aber offenbar ungelegen gekom­men sei. – Dazu bemerkt die Be­schwer­de­geg­nerin in der Duplik, dass der beigezogene be­ra­tende Ingenieur die Be­schwer­de­füh­re­rin nicht als gleichwertig beurteilt, sondern wieder­holt krass bevorzugt habe, so dass seine Empfehlungen nicht mehr als objektiv hätten qua­lifiziert werden können. b) Die Vergabeinstanz kann zur Durchführung einer Submission externe Fachleute beiziehen, die direkt am Verfahren mitwirken. Ob der Beizug derartiger Experten erforder­lich ist und in welcher Form er erfolgt, steht in weitem Umfang in ihrem Ermessen. Sie ist auch nicht an die Beurteilung der Experten gebunden, sondern trifft ihren Ent­scheid in ei­gener Verantwortung (RB 1999 Nr. 4 = BEZ 1999 Nr. 25 = ZBl 101/2000, S. 265 E. 5; zur besonderen Rechtslage bei der Einsetzung einer unabhängigen Jury gemäss § 11 Abs. 1 lit. k der Submissionsverordnung vom 18. Juni 1997 [SubmV] vgl. RB 2000 Nr. 60; VGr, 13. Februar 2002, VB.2001.00035, E. 3a/cc). Sieht die Behörde begründete Anhaltspunkte, an der Unvoreingenommenheit eines beigezogenen Experten zu zweifeln, muss sie auf dessen Mitwirkung verzichten, da in diesem Fall ein Ausstandsgrund gegen ihn vorliegt (RB 1999 Nr. 4 = BEZ 1999 Nr. 25 = ZBl 101/2000, S. 265 E. 5). Die vorliegend strittige Vergabe wies keine Komplexität von der Art auf, dass der Beizug eines Experten zwingend erforderlich gewesen wäre. Die Be­schwer­de­geg­nerin war daher auch befugt, auf die Mitwirkung des beigezogenen Experten nachträglich wieder zu verzichten bzw. dessen Unterlagen in eigener Kompetenz zu werten. Wenn sie zur Auffas­sung gelangte, dass der beigezogene Fachmann versucht habe, die Be­schwer­de­füh­re­rin zu bevorteilen, war sie zu diesem Vorgehen sogar verpflichtet. Die Frage stellt sich jedoch, ob nicht gleichwohl Anlass bestünde, die auf diesen Fachmann zurückgehenden Unterlagen offen zu legen. Zwar sind die Ergebnisse seiner Beratung verwaltungsinterne Unterlagen und müssen grundsätzlich nur herausgegeben werden, soweit sie zur Begründung des Vergabeentscheids erforderlich sind (VGr, 12. Sep­tember 2001, VB.2001.00095, E. 4b). Entsprechendes gilt für die Einvernahme des Bera­ters als Zeuge. Wird jedoch die Mitwirkung eines externen Experten im Lauf des Verfah­rens ohne äussere Notwendigkeit plötzlich abgebrochen, so erscheint es nahe liegend, dass dieser Sachverhalt einer näheren Prüfung unterzogen wird, um den Verdacht auf eine will­kürliche Missachtung sachlich begründeter Ergebnisse auszuschliessen. Der von der Be­schwer­de­geg­nerin genannte Grund für die vermutete Voreingenommenheit des beigezoge­nen Fachmannes, nämlich seine Bekanntschaft zu einem Mitarbeiter der Be­schwer­de­füh­re­rin, erscheint keineswegs als zwingend, da Bekanntschaften dieser Art, wie die Be­schwer­de­füh­re­rin zu Recht anführt, unter Fachleuten derselben Branche kaum zu vermeiden sind. Anhaltspunkte für die von der Be­schwer­de­geg­nerin behauptete einseitige Bevorzugung könnten sich am ehesten aus den vom Berater erstellten Unterlagen bzw. aus seiner Ein­vernahme als Zeuge ergeben. Es ist denn auch nicht ersichtlich, welcher Nachteil der Be­schwer­de­geg­nerin aus dem Beizug der betreffenden Akten erwachsen könnte. Die Frage kann jedoch offen bleiben, da sie aufgrund der nachfolgenden Erwägungen für den Aus­gang des Verfahrens nicht entscheidend ist.</w:t>
      </w:r>
    </w:p>
    <w:p>
      <w:r>
        <w:rPr>
          <w:b/>
        </w:rPr>
        <w:t>E. 4</w:t>
      </w:r>
    </w:p>
    <w:p>
      <w:r>
        <w:t>Die Be­schwer­de­füh­re­rin erblickt einen Anhaltspunkt für willkürliches Vorgehen der Be­schwer­de­geg­nerin darin, dass die drei preislich günstigsten Anbieterinnen am 14. Au­gust 2001 zu einer "abschliessenden Besprechung" eingeladen worden seien. In der Folge sei der Zuschlag aber dennoch an die Mitbeteiligte ergangen, welche das zweit­teuers­te Angebot gemacht habe. Die Be­schwer­de­geg­nerin begründet ihr Vorgehen damit, dass zur Besprechung vom 14. August 2001 nur diejenigen Büros eingeladen worden seien, welche man nicht ausreichend gekannt habe. Das steht freilich in einem gewissen Wider­spruch zu ihrer Angabe, dass man an jenem Treffen die konkrete Abwicklung des Projekts besprochen habe (Duplik, Ziff. 3), denn diese Abwicklung hat mit der Bekanntheit der An­bieter nichts zu tun und muss am ehesten mit denjenigen Bewerbern erörtert werden, wel­che für den Auftrag in Aussicht genommen werden. Auch diese Frage kann jedoch aus denselben Gründen offen bleiben.</w:t>
      </w:r>
    </w:p>
    <w:p>
      <w:r>
        <w:rPr>
          <w:b/>
        </w:rPr>
        <w:t>E. 5</w:t>
      </w:r>
    </w:p>
    <w:p>
      <w:r>
        <w:t>erhielt. Die Be­schwer­de­füh­re­rin, die geltend macht, eines der führenden Schweizer Ingenieurbüros der Siedlungswasserwirt­schaft zu sein, hält dies für willkürlich. Die Be­schwer­de­geg­nerin bestreitet die Qualifika­tionen der Be­schwer­de­füh­re­rin nicht, weist jedoch darauf hin, dass diese vor allem im pla­nerisch-theoretischen, nicht im praktisch vollziehenden Bereich auf Stufe Gemeinde lägen; auf diesem Gebiet habe die Be­schwer­de­füh­re­rin erst seit wenigen Jahren punktuell Erfah­rungen gesammelt. Ob diese Unterscheidung die grosse Bewertungsdifferenz zu begründen vermag, ist nicht ohne weiteres deutlich, kann jedoch offen bleiben. Insgesamt erweisen sich damit die von der Be­schwer­de­geg­nerin vorgenommenen Benotungen der Qualität in Anbetracht ihres Ermessensspielraums zum grösseren Teil als vertretbar. Einzelne Bewertungen können allerdings nicht abschliessend überprüft werden, weil auf die von der Be­schwer­de­geg­nerin erst mit der Duplik vorgebrachten Angaben nicht abgestellt werden kann. Die Begründung des Vergabeentscheids erweist sich insofern als unzureichend. f) Die Beurteilung des Preises ist bei Dienst­leis­tungs­auf­trägen, deren Umfang im Voraus nicht genau umschrieben werden kann, regelmässig mit Schwierigkeiten verbun­den. Die in einem Angebot genannten Stundenhonorare sind nur beschränkt aussagekräftig, da der Zeitaufwand, der für die Bearbeitung benötigt wird und der sich vor Beginn der Ar­beit nicht genau beziffern lässt, ebenfalls in die Gesamt­rechnung einfliesst (vgl. VGr, ZBl 2000, S. 589 E. 4b = BEZ 1999 Nr. 35). Im Grundsatz war es daher durchaus folgerichtig, wenn die Be­schwer­de­geg­nerin vorliegend nicht allein auf die offerierten Stundentarife ab­stellte, sondern auch weitere Kostenfaktoren in die Bewertung einbeziehen wollte. Unter diesem Titel nahm sie zunächst eine Aufrechnung des Zeitaufwandes für die voraussichtlichen Fahrten der Anbietenden zum Einsatzort in der Gemeinde vor. Dieses Vorgehen ist nicht zu beanstanden. Zwar dürfen ortsfremde Anbietende gemäss Art. 5 Abs. 1 des Bundesgesetzes vom 6. Oktober 1995 über den Binnenmarkt (BGBM) bei einer öffent­li­chen Beschaffung nicht benachteiligt werden, und Vergabekriterien, die auf die Länge der Anfahrtswege der Anbieter abstellen, sind daher unter dem Aspekt der Gleich­behandlung problematisch (vgl. RB 1998 Nr. 70 = BEZ 1999 Nr. 12 = URP 1999 S. 165 = ZBl 101/2000, S. 262 E. 5a; BEZ 1999 Nr. 27 = URP 1999 S. 814 E. 4; Matthias Hauser, Umweltaspekte von Baustellen im Vergaberecht, URP 2002, S. 339, 358 ff.). Vorliegend handelt es sich jedoch nicht um ein von der Be­schwer­de­geg­nerin aufgestelltes zusätzliches Kriterium, sondern um eine Folge der Tarifierung, die auf einer separaten Vergütung des Zeitaufwandes für die Anreise beruht. Die Länge der Anfahrtswege wirkt sich daher un­mittelbar auf die Wirtschaftlichkeit des Angebots aus, was im Rahmen eines Vergabever­fahrens ohne weiteres berücksichtigt werden darf; die Beachtung dieser wirtschaftlichen Auswirkungen wurde denn auch in der erwähnten Recht­spre­chung nicht abgelehnt (vgl. BEZ 1999 Nr. 27 = URP 1999 S. 814 E. 4b). Die Anbieter hätten im Übrigen die Möglich­keit gehabt, den Aufwand für die Fahrten zum Einsatzort zu einem günstigeren Stundenan­satz oder z.B. als Pauschale zu offerieren, um die Wirtschaftlichkeit ihres Angebots zu ver­bessern. Ebenso hätte es der Beschwerdegegnerin frei gestanden, in den Aus­schrei­bungs­un­ter­la­gen einen Vergütungsmodus vorzusehen, der den Einfluss der Anfahrtswege auf die Kostenberechnung einschränkt oder beseitigt hätte. Problematisch ist allenfalls, dass der Einfluss der Reisezeiten auf die Beurteilung der Angebote in den von der Be­schwer­de­geg­nerin abgegebenen Unterlagen nicht erwähnt wurde. Nachdem aber die Berechnungsweise als solche den Anbietenden offenbar bekannt war – sie wurde jedenfalls von keiner Seite bestritten –, mussten diese auch damit rechnen, dass die Einsatzdistanzen, deren Einfluss auf die Gesamtkosten hier offensichtlich ist, bei der Beurteilung berücksichtigt würden. Das Vorgehen der Be­schwer­de­geg­nerin erweist sich daher in diesem Punkt als zulässig. Wieweit die von der Be­schwer­de­füh­re­rin gegen die Berechnung der Anfahrtswege erhobenen Einwendungen zutreffen, kann dabei offen bleiben. g) Des Weiteren hat die Be­schwer­de­geg­nerin auch die Erfahrung und die Qualifi­kationen der Sachbearbeiter, die für die Ausführung des Auftrags eingesetzt werden sollen, bei der Beurteilung des Preises in Rechnung gestellt. In der Tat spricht manches dafür, dass auch diese Qualitäten der ausführenden Personen in die Bewertung des voraussichtlichen Gesamtaufwandes eines Angebots einfliessen, und die Berechnungsmethode, welche die Be­schwer­de­geg­nerin dabei angewandt hat, erscheint nicht von vornherein als ungeeignet. Diese indirekt kostenrelevanten Faktoren wären zwar nach der Systematik von § 31 Abs. 1 SubmV eher unter dem Kriterium der (gesamthaft zu würdigenden) Wirtschaftlichkeit als unter jenem des Preises einzuordnen (vgl. VGr, 19. April 2002, VB.2001.00402, E. 5e), doch steht diese Frage hier nicht im Vordergrund. Fragwürdig ist jedoch, dass die Be­schwer­de­geg­nerin auf diese Weise vorging, obschon sie in den Zuschlagskriterien, die sie mit den Aus­schrei­bungs­un­ter­la­gen bekannt gegeben hatte, klar zwischen den Kriterien Preis und Qualität unterschieden und beim Kriterium Qualität als Unterkriterien insbeson­dere die personellen Ressourcen der Anbieter, die Qualifikation von Projektleiter und Schlüsselpersonen sowie die Referenzen und Erfahrungen im Bereich der Siedlungsent­wässerung genannt hatte. Die Gesamtheit dieser für die Qualität massgebenden Elemente gewich­tete sie mit lediglich 40 % und stellte sie dem nicht näher umschriebenen Preis ge­genüber, der für sich allein ein Gewicht von 60 % erhielt. Aufgrund dieser Bekanntgabe mussten die Anbietenden davon ausgehen, dass die Be­schwer­de­geg­nerin dem Preis ein grosses Gewicht beimass, wogegen die Qualifikation und Erfahrung der mitwirkenden Per­sonen in ihrer Bedeutung zurücktraten. Dass die Qualitäten der vorgesehenen Bearbeiter auch beim Preis nochmals berücksichtigt würden, war aufgrund der Kriterien nicht zu er­warten. Gewichtungen dieser Art sind für die Anbietenden, die ihre Offerten darauf aus­richten, von grosser Bedeutung. Die Teilnehmer des Verfahrens dürfen nach dem Grund­satz von Treu und Glauben (Art. 9 der Bundesverfassung der Schweizerischen Eidgenos­senschaft vom 18. April 1999) darauf zählen, dass die bekannt gegebenen Vergabekriterien grundsätzlich Bestand haben (vgl. VGr, 31. Januar 2002, VB.2000.00403, E. 2a–b; 13. Februar 2002, VB.2001.00035, E. 3a/cc). Ob eine nachträgliche Änderung der Krite­rien in Ausnahmefällen zulässig ist, braucht vorliegend nicht entschieden zu werden (vgl. dazu VGr, 10. Mai 2001, VB.2000.00261, E. 4); die Be­schwer­de­geg­nerin hat eine solche Änderung weder bekannt gegeben noch begründet. Unter diesen Umständen war es nicht zulässig, Erfahrung und Qualifikation der Sachbearbeiter beim  Kriterium Preis nochmals in Rechnung zu stellen. Dass Personen mit geringerer Erfahrung in den spezifischen Be­langen des Gemeindeingenieurwesens zumindest in der Anfangsphase mehr Zeit für die Bearbeitung benötigen, ist zwar durchaus denkbar. Dieser Umstand wird jedoch beim Kri­terium Qualität mit berücksichtigt, und die Be­schwer­de­geg­nerin hat mit der Gewichtung der Kriterien festgelegt, welche Bedeutung sie ihm zumisst. Die zweimalige Berücksichti­gung der qualitativen Gesichtspunkte (beim Kriterium Qualität wie auch beim Kriterium Preis) würde auf eine nachträgliche Anpassung der Kriterien bzw. deren Gewichtung hin­auslaufen, was nicht zulässig ist. h) Beim Vergleich der Kosten hat die Be­schwer­de­geg­nerin den voraussichtlichen Arbeits­aufwand ("Bürozeit") der Be­schwer­de­füh­re­rin unter Hinweis auf die geringere Er­fahrung der eingesetzten Sachbearbeiter um 100 Std. (ca. 21%), denjenigen eines weiteren Mitbewerbers um 25 Std. (ca. 5 %) erhöht. Verzichtet man auf diese unzulässigen Auf­rechnungen, belaufen sich die angenommenen jährlichen Totalkosten der Be­schwer­de­füh­re­rin noch auf Fr. 58'295.--, während jene der Mitbeteiligten bei Fr. 78'650.-- verbleiben. Nach der Berechnungsmethode der Be­schwer­de­geg­nerin, die für jedes Prozent Mehrkosten einen Abzug von 5 Punkten vornahm, ergibt dies für den um 35 % höheren Gesamtpreis der Mitbeteiligten eine Wertung von 325 Punkten, die aufgrund der Gewichtung von 60 % mit 195 Punkten ins Gesamttotal eingeht. Damit erreicht die Mitbeteiligte insgesamt 391 Punkte und rangiert deutlich hinter der Be­schwer­de­füh­re­rin, deren Gesamtzahl von 432 Punkten unverändert bleibt. Entsprechendes gilt für die anderen Mitbewerber, deren Wertungen im Vergleich zum günstigeren Preis der Be­schwer­de­füh­re­rin ebenfalls zurück­gestuft werden müssen. So liegen die Gesamtkosten der Firma G, die nach der Rangierung der Be­schwer­de­geg­nerin im Gesamtergebnis noch vor der Be­schwer­de­füh­re­rin lag, nun­mehr um 15 % über jenen der Be­schwer­de­füh­re­rin; sie erreicht damit beim Preis eine ge­wichtete Wertung von 255 Punkten und steht im Gesamttotal mit 391 Punkten auf der glei­chen Stufe wie die Mitbeteiligte. Im Ergebnis erzielt die Be­schwer­de­füh­re­rin aufgrund dieser Neuberechnung kla­rerweise das beste Gesamtresultat aller Anbietenden. Das gilt bereits dann, wenn die von der Be­schwer­de­geg­nerin vorgenommene qualitative Bewertung unverändert zugrunde ge­legt wird; die von der Be­schwer­de­füh­re­rin dagegen erhobenen Einwendungen, die nicht in allen Punkten überprüft werden können, bleiben damit ohne Einfluss auf das Resultat. i) Bei dieser Sachlage muss der Auftrag an die Be­schwer­de­füh­re­rin vergeben wer­den. Die Beschwerde ist gutzuheissen und der angefochtene Vergabeentscheid aufzuheben. Da dem Gericht jedoch nicht bekannt ist, ob mit dem Zuschlag allenfalls Nebenbestim­mungen oder ergänzende vertragliche Rege­lungen – z.B. mit Bezug auf die durch das Be­schwerdeverfahren verzögerte Terminpla­nung – zu verbinden sind, wäre es nicht zweck­mässig, den Zuschlag unmittelbar mit dem Beschwerdeentscheid zu erteilen. Die Sache ist vielmehr mit einer entsprechenden Anordnung an die Vor­in­stanz zurückzuwei­sen (vgl. VGr, 17. Februar 2000, BEZ 2000 Nr. 25, E. 5b).</w:t>
      </w:r>
    </w:p>
    <w:p>
      <w:r>
        <w:rPr>
          <w:b/>
        </w:rPr>
        <w:t>E. 6</w:t>
      </w:r>
    </w:p>
    <w:p>
      <w:r>
        <w:t>Bei diesem Ausgang des Verfahrens wird die Be­schwer­de­geg­nerin kostenpflich­tig. Die Zusprechung einer Par­tei­ent­schä­di­gung an die Be­schwer­de­füh­re­rin, die sich im Be­schwer­deverfahren nicht vertreten liess, erscheint dagegen nicht als gerechtfertigt. Demgemäss entscheidet die Kammer: 1.    Die Be­schwer­de wird gutgeheissen und der angefochtene Vergabeentscheid aufgeho­ben. Die Sache wird an den Gemeinderat X zurückgewiesen, um den Zuschlag an die Be­schwer­de­füh­re­rin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