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VB.2001.00282 vom 15. März 2002</w:t>
      </w:r>
    </w:p>
    <w:p>
      <w:r>
        <w:t>ZH Verwaltungsgericht, 2002-03-15, DE</w:t>
      </w:r>
    </w:p>
    <w:p>
      <w:r>
        <w:rPr>
          <w:b/>
        </w:rPr>
        <w:t xml:space="preserve">Quelle: </w:t>
      </w:r>
      <w:r>
        <w:t>https://mcp.opencaselaw.ch/entscheid/zh_verwaltungsgericht__VB.2001.00282</w:t>
      </w:r>
    </w:p>
    <w:p>
      <w:r>
        <w:t>FR: ZH_VERWALTUNGSGERICHT VB.2001.00282 du 15 mars 2002</w:t>
      </w:r>
    </w:p>
    <w:p>
      <w:r>
        <w:t>IT: ZH_VERWALTUNGSGERICHT VB.2001.00282 del 15 marzo 2002</w:t>
      </w:r>
    </w:p>
    <w:p>
      <w:pPr>
        <w:pStyle w:val="Heading2"/>
      </w:pPr>
      <w:r>
        <w:t>Regeste</w:t>
      </w:r>
    </w:p>
    <w:p>
      <w:r>
        <w:t>Baubewilligung | Bei einer baurechtswidrigen Baute ist eine weitergehende Abweichung von der bereits verletzten Norm - hier der zulässigen Baumasse - nur zulässig, wenn eine Ausnahmebewilligung erteilt werden kann. I.c. liegt keine Ausnahmesituation vor. Gutheisssung.</w:t>
      </w:r>
    </w:p>
    <w:p>
      <w:pPr>
        <w:pStyle w:val="Heading2"/>
      </w:pPr>
      <w:r>
        <w:t>Erwägungen</w:t>
      </w:r>
    </w:p>
    <w:p>
      <w:r>
        <w:rPr>
          <w:b/>
        </w:rPr>
        <w:t>E. 1</w:t>
      </w:r>
    </w:p>
    <w:p>
      <w:r>
        <w:t>Wie die Baurekurskommission II unwidersprochen und in Übereinstimmung mit den Akten festgestellt hat, umfasst das Baugrundstück 952 m</w:t>
      </w:r>
    </w:p>
    <w:p>
      <w:r>
        <w:rPr>
          <w:b/>
        </w:rPr>
        <w:t>E. 2</w:t>
      </w:r>
    </w:p>
    <w:p>
      <w:r>
        <w:t>und erlaubt die Bau- und Zo­nenordnung der Gemeinde X vom 4. April 1995 in der dortigen Wohnzone W2A eine Bau­masse von 1,6 m</w:t>
      </w:r>
    </w:p>
    <w:p>
      <w:r>
        <w:rPr>
          <w:b/>
        </w:rPr>
        <w:t>E. 3</w:t>
      </w:r>
    </w:p>
    <w:p>
      <w:r>
        <w:t>a) Gemäss § 220 Abs. 1 PBG darf von Bauvorschriften im Einzelfall befreit werden, wenn besondere Verhältnisse vorliegen, bei denen die Durch­setzung der Vorschriften unverhältnismässig erscheint. Eine Ausnahmebewilligung bezweckt, im Einzelfall Härten und Un­billigkeiten zu beseitigen, die mit dem Erlass der Re­gel nicht beabsichtigt waren. Es geht mithin um offensicht­lich ungewollte Wirkungen einer Vorschrift. Die Ausnahmebewill­li­gung darf daher nicht dazu eingesetzt werden, generel­le Gründe zu berücksichtigen, die sich praktisch immer an­führen liessen; auf diesem Weg würde das Gesetz abgeändert (BGE 117 Ib 125 E. 6 d). Eine Ausnahmebewilligung darf nur unter der Voraus­setzung "besonderer Verhältnisse" erteilt werden (RB 1981 Nr. 125 = BEZ 1981 Nr. 34; RB 1981 Nr. 126; RB 1985 Nr. 103 = BEZ 1986 Nr. 4; Erich Zimmerlin, Baugesetz des Kantons Aargau, Aarau 1985, § 155 N. 1; Aldo Zaugg, Kommentar zum Baugesetz des Kantons Bern vom 9. Juni 1985, 2. A., Bern 1995, Art. 26/27 N. 4; Charlotte Good‑Weinber­ger, Die Ausnahmebewilligung im Baurecht, insbesondere nach § 220 des zürcherischen Planungs‑ und Baugeset­zes, Zürich 1990, S. 102 ff.). Weil es um die Befreiung von einer baurechtli­chen Norm geht, müssen die besonderen Verhältnisse baurecht­licher Natur sein, was zur Hauptsache im Fall einer ungün­stigen Form oder Beschaffenheit des Baugrundstücks oder auf­grund von Eigen­heiten des Projekts zutrifft (Zimmerlin, § 155 N. 6 mit Hinweisen). Die Ausnah­mebewilligung hat sich darauf zu beschränken, Härten, Unbil­ligkeiten und Unzuläng­­lichkeiten der Allgemeinordnung zu verhüten. Ob eine Ausnah­mesituation im erwähn­ten Sinn vor­liegt, ist eine Rechtsfra­ge, die das Verwaltungsgericht frei überprüft (RB 1964 Nr. 28 = ZBl 66/1965 S. 176 = ZR 64 Nr. 185). b) In ihrer Vernehmlassung an die Baurekurskommission vom 30. März 2001 hat die Baukommission X geltend gemacht, es lägen bezüglich der Überschreitung der Baumas­senziffer besondere Gründe vor, welche eine ausnahmsweise Bewilligung rechtfertigen würden. Mit der Revision des Planungs- und Baugesetzes vom 1. September 1991 sei der Ausbau bestehender Dachgeschosse privilegiert worden, indem für die Berechnung der Aus­nützungsziffer Dachgeschossflächen in der Regel nicht mehr berücksichtigt werden müss­ten (§ 255 PBG). Als in der Folge die Gemeinde X von der Ausnützungs- zur Baumas­senziffer gewechselt habe, sei im Rahmen der Bauordnungsrevision seitens der Ge­mein­de X öffentlich die Auffassung vertreten worden, durch diesen Wechsel entstünden in Bezug auf Dachausbauten keine Nachteile entstehen. Aus diesem Grund habe die Baukom­mission bei vor dem 1. September 1991 erstellten Gebäuden Dachausbauten auch dann be­willigt, wenn sie zu einer aufgrund der Baumassenziffer unzulässigen Ver­grös­serung des Baukubus geführt hätten. Eine unrichtige behördliche Auskunft stellt keinen Ausnahmegrund dar, sondern es ist ihr gegebenenfalls im Rahmen des Vertrauensschutzes Rechnung zu tragen. Wie bereits dargelegt wurde, sind jedoch die Voraussetzungen, welche es erlaubten, aus Vertrauensgrün­­den eine vom Gesetz abweichende Bewilligung zu erteilen, hier nicht erfüllt. Abgesehen davon stellt das Umbauvorhaben keinen blossen Ausbau eines bestehenden Dachgeschos­ses dar, sondern erhält dieses erst durch den Aufbau der beiden Schlepplukarnen die gebotene Raumhöhe (vgl. § 304 PBG). Ebenso wenig vermag das vom privaten Beschwerdegegner geltend gemachte Anliegen, seinem Sohn eine grössere Wohnung zur Verfügung zu stellen, besondere Verhältnisse im Sinn von § 220 PBG zu begründen. Besondere Gründe, welche eine Ausnahmesi­tuation begründen, müssen objektiver Art sein und dürfen nicht in den persönlichen Verhält­nissen der Bauwilligen begründet sein. Fehlt es bereits an solchen besonderen Verhältnissen für die Erteilung einer Ausnahmebewilligung, braucht nicht geprüft zu werden, ob ihr öffentliche oder nachbarliche Interessen entgegen stünden. Im Weiteren ist der Beschwerdeführerin beizupflichten, dass die Interpretation der Baubehörde bei Erweiterungsbauten zu einer Bevorzugung der Eigentümer baurechtswidriger Gebäude gegenüber jenen führen würde, deren Gebäude baurechtskonform sind.</w:t>
      </w:r>
    </w:p>
    <w:p>
      <w:r>
        <w:rPr>
          <w:b/>
        </w:rPr>
        <w:t>E. 4</w:t>
      </w:r>
    </w:p>
    <w:p>
      <w:r>
        <w:t>Damit erweist sich die Beschwerde als begründet und ist sie gutzuheissen. Demgemäss sind der angefochtene Rekursentscheid und die Baubewilligung vom 4. Dezember 2000 aufzuheben. ... Demgemäss entscheidet die Kammer: 1.    Die Beschwerde wird gutgeheissen. Demgemäss werden der Entscheid der Baurekurs­kommission II vom 10. Juli 2001 und der Beschluss der Baukommission X vom 4. De­zember 2000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