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VB.2001.00253 vom 20. Dezember 2001</w:t>
      </w:r>
    </w:p>
    <w:p>
      <w:r>
        <w:t>ZH Verwaltungsgericht, 2001-12-20, DE</w:t>
      </w:r>
    </w:p>
    <w:p>
      <w:r>
        <w:rPr>
          <w:b/>
        </w:rPr>
        <w:t xml:space="preserve">Quelle: </w:t>
      </w:r>
      <w:r>
        <w:t>https://mcp.opencaselaw.ch/entscheid/zh_verwaltungsgericht__VB.2001.00253</w:t>
      </w:r>
    </w:p>
    <w:p>
      <w:r>
        <w:t>FR: ZH_VERWALTUNGSGERICHT VB.2001.00253 du 20 décembre 2001</w:t>
      </w:r>
    </w:p>
    <w:p>
      <w:r>
        <w:t>IT: ZH_VERWALTUNGSGERICHT VB.2001.00253 del 20 dicembre 2001</w:t>
      </w:r>
    </w:p>
    <w:p>
      <w:pPr>
        <w:pStyle w:val="Heading2"/>
      </w:pPr>
      <w:r>
        <w:t>Regeste</w:t>
      </w:r>
    </w:p>
    <w:p>
      <w:r>
        <w:t>Sozialhilfe | Verfügte der Beschwerdeführer während der Zeit, für die er wirtschaftliche Hilfe beansprucht, über verbrauchbares Vermögen? Das Verwaltungsgericht ist zuständig; die Angelegenheit ist ohne verfahrensmässige Weiterungen spruchreif (E. 1). Massgebend ist grundsätzlich die Sachlage im Zeitpunkt der erstinstanzlichen Verfügung. Vorliegend ist jedoch zu prüfen, ob die Beschwerdegegnerin nach der im Sommer 1999 bestehenden Sachlage die Ausrichtung wirtschaftlicher Hilfe verweigern durfte (E. 2b). Die Auffassung der Vorinstanz, der Beschwerdeführer habe im massgebenden Zeitraum über ein abrufbares Guthaben von mind. Fr. 100'000.- verfügt, trifft im Licht der zusätzlich beigezogenen Akten zu. Dass dieses Geld heute wahrscheinlich verloren ist, ändert daran nichts (E. 3).</w:t>
      </w:r>
    </w:p>
    <w:p>
      <w:pPr>
        <w:pStyle w:val="Heading2"/>
      </w:pPr>
      <w:r>
        <w:t>Erwägungen</w:t>
      </w:r>
    </w:p>
    <w:p>
      <w:r>
        <w:rPr>
          <w:b/>
        </w:rPr>
        <w:t>E. 3</w:t>
      </w:r>
    </w:p>
    <w:p>
      <w:r>
        <w:t>a) Die Beschwerdegegnerin und der Bezirksrat haben die erneute Verweigerung wirtschaftlicher Hilfe an den Beschwerdeführer grundsätzlich gleich begründet wie die früheren Entscheide vom 25. November 1998 und vom 12. Februar 1999. Sie gehen davon aus, dass der Beschwerdeführer bei der offenbar B gehörenden Firma C, in X, über ein Gut­haben von mindestens Fr. 100'000.- verfügt, welches er abrufen könnte, wenn er wollte. Eine Bedürftigkeit, die den Anspruch auf wirtschaftliche Hilfe begründen würde, sei daher zu verneinen. Das fragliche Guthaben entstand aus der Auflösung eines Freizügigkeitsguthabens des Beschwerdeführers, welches die D-Versicher­un­gen 1997 an die Firma C ausbezahlten. Dabei überwies die Versicherung allerdings einen Teil des ausbezahlten Geldes instruktionswidrig an die Firma C statt auf ein Bankkonto des Beschwerdeführers. Das blieb deswegen ohne erhebliche Folgen für die Versicherung, weil der Beschwerdeführer diese Transaktion im Nachhinein genehmigte. Ergänzend zur früheren Begründung führte die Beschwerdegegnerin im Beschluss vom 26. April 2001 aus, zwar habe der Beschwerdeführer angeboten, dass B über den Verbleib des Geldes bei der Firma C Auskunft erteilen und Einsicht in die entsprechende Buch­­haltung gewähren würde. Auf eine entsprechende konkrete Aufforderung der Beschwer­degegnerin sei B dann aber nicht eingetreten. Daraus leitete die Be­schwerde­geg­nerin ab, der Beschwerdeführer sei nach wie vor nicht gewillt, über seine Ver­mögens­ver­hältnisse Auskunft zu erteilen. Der Bezirksrat erwog im angefochtenen Entscheid, die früheren Feststellungen über das Vermögen des Beschwerdeführers erschienen nach wie vor als zutreffend. Die neuen Dokumente, die der Beschwerdeführer vor Bezirksrat vorlege, würden ihm nicht weiterhelfen. Selbst wenn es zuträfe, dass die Forderung des Beschwerdeführers gegenüber B inzwischen gepfändet worden sei, sei damit nichts darüber ausgesagt, was mit den Pensionskassenleistungen des Beschwerdeführers geschehen sei, die seinerzeit in die Firma C geflossen waren, und welche Rückzüge der Beschwerdeführer in der Zwischenzeit getätigt habe. b) Im Licht der vom Verwaltungsgericht zusätzlich beigezogenen Akten erscheint die Betrachtungsweise der Vorinstanzen als zutreffend. Der Beschwerdeführer hat seit je geltend gemacht, er könne über das Geld, welches aus der Auflösung seiner Pensionskassenguthaben an die Firma C gelangt ist, nicht oder jedenfalls auf absehbare Zeit nicht verfügen. Indessen ergibt sich aus den Darlegungen von B gegenüber der Beschwer­degegnerin vom 23. Januar 2000, dass das Geld, welches B vom Beschwerdeführer erhalten hat, zum Teil (ca. Fr. 45'000.-) ein kündbares Darlehen darstellt, welches mündelsicher hätte angelegt werden müssen. Zum anderen Teil (Fr. 60'000.-) wurde das Geld als Miete für einen Ver­kaufsraum mit einer Mietdauer von 10 Jahren bezeichnet. Auch dieser Mietvertrag wäre kündbar gewesen, wodurch die Miete in ein kündbares Darlehen umgewandelt worden wäre. Für eine Kündigung hätte umso mehr Anlass bestanden, als das Geschäft, für welches der Raum gemietet wurde, zu keiner Zeit reelle Erfolgsaussichten aufwies. Weiter ist festzuhalten, dass die Firma C gar (noch) nicht existiert; ob sie jemals gegründet werden wird, ist äussert zweifelhaft. Angesichts der Ausführungen von B vor dem Obergericht ist schliesslich anzunehmen, dass das Geld inzwischen vertragswidrig verbraucht wurde. Das ändert aber nichts daran, dass die Behauptung des Beschwerdeführers, sein Geld sei bei der Aushändigung an B bzw. an die Firma C vorsorgegebunden angelegt worden, nicht zutrifft. Im Weiteren ist zu vermuten, dass der Beschwerdeführer mit raschem Handeln wenigstens einen Teil dieses Geldes wieder hätte herausbekommen können. Angesichts der unklaren, unvollständigen und teilweise wahrheitswidrigen Angaben des Beschwerdeführers ist es nicht zu beanstanden, dass die Beschwerdegegnerin annahm, der Beschwerdeführer verfüge über verwertbares Eigenkapital, weshalb ein Anspruch auf wirtschaftliche Hilfe nach § 14 SHG nicht bestehe. Aus der Tatsache, dass B das Kapital inzwischen wahrscheinlich unwiederbringlich verbraucht hat, kann der Beschwerdeführer keinen Anspruch darauf ableiten, für die Zeit vom Juli 1999 bis Juni 2000 wirtschaftliche Hilfe zu erhalten. Die Beschwerde ist daher abzuweisen.</w:t>
      </w:r>
    </w:p>
    <w:p>
      <w:r>
        <w:rPr>
          <w:b/>
        </w:rPr>
        <w:t>E. 4</w:t>
      </w:r>
    </w:p>
    <w:p>
      <w:r>
        <w:t>Der Beschwerdeführer verlangt die Bestellung eines Rechtsbeistandes im Sinn von § 16 Abs. 2 VRG. Nach dieser Bestimmung hat eine Partei, die nicht in der Lage ist, ihre Rechte selbst zu wahren, einen entsprechenden Anspruch. Der Beschwerdeführer ist zwar offenbar wegen psychischer Erkrankung für 100 % arbeitsunfähig erklärt worden. Er hat aber die für die Geltendmachung seines Anliegens wesentlichen Aspekte in verständlicher Form und konsistent vorgebracht. Dem entsprechenden Antrag des Beschwerdeführers ist daher nicht stattzugeben. Hingegen ist es angezeigt, dem Beschwerdeführer, der jedenfalls heute offensichtlich mittellos ist und dessen Begehren nicht von vornherein aussichtslos erschien, entsprechend seinem sinngemäss gestellten Antrag die unentgeltliche Rechtspflege im Sinn von § 16 Abs. 1 VRG zu gewähren. Die Gerichtsgebühr ist daher auf die Gerichtskasse zu nehmen.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