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VB.2001.00236 vom 23. August 2001</w:t>
      </w:r>
    </w:p>
    <w:p>
      <w:r>
        <w:t>ZH Verwaltungsgericht, 2001-08-23, DE</w:t>
      </w:r>
    </w:p>
    <w:p>
      <w:r>
        <w:rPr>
          <w:b/>
        </w:rPr>
        <w:t xml:space="preserve">Quelle: </w:t>
      </w:r>
      <w:r>
        <w:t>https://mcp.opencaselaw.ch/entscheid/zh_verwaltungsgericht__VB.2001.00236</w:t>
      </w:r>
    </w:p>
    <w:p>
      <w:r>
        <w:t>FR: ZH_VERWALTUNGSGERICHT VB.2001.00236 du 23 août 2001</w:t>
      </w:r>
    </w:p>
    <w:p>
      <w:r>
        <w:t>IT: ZH_VERWALTUNGSGERICHT VB.2001.00236 del 23 agosto 2001</w:t>
      </w:r>
    </w:p>
    <w:p>
      <w:pPr>
        <w:pStyle w:val="Heading2"/>
      </w:pPr>
      <w:r>
        <w:t>Regeste</w:t>
      </w:r>
    </w:p>
    <w:p>
      <w:r>
        <w:t>Sozialhilfe | Auflage einer vertrauensärztlichen Untersuchung Das Verwaltungsgericht ist sachlich und funktionell zuständig (E. 1a). Die Anordnung stellt einen Zwischenentscheid dar. Da ihre Durchsetzung einen nicht rückgängig zu machenden Eingriff in die Persönlichkeit des Beschwerdeführers verursacht, ist auf die Beschwerde einzutreten (E. 1b). Die Ankündigung, bei Nichtbefolgung der hauptsächlichen Anordnung die Leistungen einzustellen, stellt selbst eine anfechtbare Anordnung dar (E. 1c). Da dem Hauptstreitpunkt kein Streitwert zukommt, hat die Kammer zu entscheiden (E. 1d). Es kann offen bleiben, ob die Sozialkommission Befugnisse nach § 57 GemeindeG an ihren Delegierten übertragen hat und ob die angefochtene Anordnung aufzuheben ist, weil die Rechtsmittelbelehrung auf den Rekurs an den Bezirksrat und nicht auf die Einsprache an die Gesamtbehörde verwies (E. 2). Eine fremdenpolizeilich motivierte Untersuchung kann sich nicht auf § 21 SHG und § 23 SHV stützen (E. 3b). § 7 VRG kann ebenso wenig als Rechtsgrundlage dienen, da der Beschwerdegegnerin keine Befugnisse im Bereich der Fremdenpolizei zukommen (E. 3c). Die Kenntnis der Arbeitsfähigkeit des Hilfeempfängers ist nicht unmittelbar für den Entscheid über die Ausrichtung und die Höhe der Leistungen notwendig (E. 3d). Zulässig ist eine solche Untersuchung, wenn die Arbeitsfähigkeit im Hinblick auf die Erteilung von Weisungen im Sinn von § 23 lit. d SHV abgeklärt werden soll. Voraussetzung dafür ist, dass eine Arbeitsaufnahme aufgrund der fremdenrechtlichen Stellung und der Lage auf dem Arbeitsmarkt als möglich erscheint. Die Angelegenheit ist deshalb an die Beschwerdegegnerin zurückzuweisen (E. 3e). Die Weigerung, sich der Untersuchung zu unterziehen, weckt keine Zweifel an der Bedürftigkeit (E. 4b). Die vollständige Einstellung ist als Sanktion der Nichtbefolgung einer Weisung unzulässig. Statthaft sind Kürzungen nach § 17 SHV in Verbindung mit A.8.3 der SKOS-Richtlinien (E. 4c).</w:t>
      </w:r>
    </w:p>
    <w:p>
      <w:pPr>
        <w:pStyle w:val="Heading2"/>
      </w:pPr>
      <w:r>
        <w:t>Erwägungen</w:t>
      </w:r>
    </w:p>
    <w:p>
      <w:r>
        <w:rPr>
          <w:b/>
        </w:rPr>
        <w:t>E. 3</w:t>
      </w:r>
    </w:p>
    <w:p>
      <w:r>
        <w:t>Abteilung/3. Kammer Weiterzug: Dieser Entscheid ist rechtskräftig. Rechtsgebiet: Fürsorgerecht Betreff: Sozialhilfe Auflage einer vertrauensärztlichen Untersuchung Das Verwaltungsgericht ist sachlich und funktionell zuständig (E. 1a). Die Anordnung stellt einen Zwischenentscheid dar. Da ihre Durchsetzung einen nicht rückgängig zu machenden Eingriff in die Persönlichkeit des Beschwerdeführers verursacht, ist auf die Beschwerde einzutreten (E. 1b). Die Ankündigung, bei Nichtbefolgung der hauptsächlichen Anordnung die Leistungen einzustellen, stellt selbst eine anfechtbare Anordnung dar (E. 1c). Da dem Hauptstreitpunkt kein Streitwert zukommt, hat die Kammer zu entscheiden (E. 1d). Es kann offen bleiben, ob die Sozialkommission Befugnisse nach § 57 GemeindeG an ihren Delegierten übertragen hat und ob die angefochtene Anordnung aufzuheben ist, weil die Rechtsmittelbelehrung auf den Rekurs an den Bezirksrat und nicht auf die Einsprache an die Gesamtbehörde verwies (E. 2). Eine fremdenpolizeilich motivierte Untersuchung kann sich nicht auf § 21 SHG und § 23 SHV stützen (E. 3b). § 7 VRG kann ebenso wenig als Rechtsgrundlage dienen, da der Beschwerdegegnerin keine Befugnisse im Bereich der Fremdenpolizei zukommen (E. 3c). Die Kenntnis der Arbeitsfähigkeit des Hilfeempfängers ist nicht unmittelbar für den Entscheid über die Ausrichtung und die Höhe der Leistungen notwendig (E. 3d). Zulässig ist eine solche Untersuchung, wenn die Arbeitsfähigkeit im Hinblick auf die Erteilung von Weisungen im Sinn von § 23 lit. d SHV abgeklärt werden soll. Voraussetzung dafür ist, dass eine Arbeitsaufnahme aufgrund der fremdenrechtlichen Stellung und der Lage auf dem Arbeitsmarkt als möglich erscheint. Die Angelegenheit ist deshalb an die Beschwerdegegnerin zurückzuweisen (E. 3e). Die Weigerung, sich der Untersuchung zu unterziehen, weckt keine Zweifel an der Bedürftigkeit (E. 4b). Die vollständige Einstellung ist als Sanktion der Nichtbefolgung einer Weisung unzulässig. Statthaft sind Kürzungen nach § 17 SHV in Verbindung mit A.8.3 der SKOS-Richtlinien (E. 4c). Stichworte: ARBEITSAUFNAHME ARBEITSFÄHIGKEIT ARBEITSSUCHE AUFENTHALTSBEWILLIGUNG DELEGATION EINSPRACHE FREMDENPOLIZEI KÜRZUNG LEISTUNGSKÜRZUNG SACHVERHALTSERMITTLUNG SACHVERHALTSFESTSTELLUNG UNTERSUCHUNG VERTRAUENSÄRZTLICHE UNTERSUCHUNG WEISUNG WIRTSCHAFTLICHE HILFE ZWISCHENENTSCHEID Rechtsnormen: § 57 GemeindeG Art. 29 GemeindeO Küsnacht § 21 SHG § 24 SHG § 17 SHV § 23 SHV § 24 SHV § 7 VRG § 48 lit. II VRG Publikationen: - keine - Gewichtung: (1 von hoher / 5 von geringer Bedeutung) Gewichtung: 4 I. A bezieht seit dem 1. Januar 2000 wirtschaftliche Hilfe. Weil die Sozialkommission der Gemeinde X erhebliche Zweifel an dessen vollumfänglicher Arbeits- und Transportunfähigkeit hegte, liess sie den Sozialdienst der Gemeinde am 23. November 2000 A auffordern, sich einer vertrauensärztlichen Untersuchung zu unterziehen. Da dieser der Aufforderung nicht nachkam, verfügte der Delegierte der Sozialkommission für wirtschaftliche Hilfe am 15. Januar 2001, die Unterstützung von Fr. 895.- monatlich werde vorläufig bis zum 31. März 2001 weitergeführt; A wurde wiederum aufgefordert, sich für eine Begutachtung durch den Vertrauensarzt der Sozialkommission zur Verfügung zu halten. Sollte dieser sich der Untersuchung widersetzen, so würde die Unterstützung ab dem 1. März 2001 eingestellt. II. Am 14. Februar 2001 erhob A gegen die genannte Verfügung Rekurs an den Bezirksrat W und beantragte namentlich, auf die vertrauensärztliche Untersuchung sei zu verzichten. Der Bezirksrat wies das Rechtsmittel mit Beschluss vom 29. März 2001 ab, soweit er darauf eintrat. Er erwog im Wesentlichen, mit der Gewährung wirtschaftlicher Hilfe könnten insbesondere Auflagen und Weisungen betreffend ärztliche Untersuchung oder Behandlung verbunden werden. Da die SUVA dem Rekurrenten lediglich eine Monatsrente aufgrund einer 15%-igen Erwerbsunfähigkeit ausrichte und auch Beobachtungen des Sozialdienstes Zweifel an dessen Arbeits- und Transportunfähigkeit hätten aufkommen lassen, rechtfertige sich die Anordnung einer vertrauensärztlichen Untersuchung vorliegend ohne Weiteres. Es liege im Interesse der Behörde, genaue Informationen über den Gesundheitszustand des Rekurrenten erhältlich zu machen, um dem Resultat entsprechend reagieren zu können. – Grundsätzlich sei es zwar unzulässig, Unterstützungsleistungen nicht zu gewähren oder einzustellen. Falls jedoch der Bezüger sich weigere, die zur Bedarfsbemessung nötigen Angaben beizubringen, müsse die Behörde erhebliche Zweifel an dessen Bedürftigkeit haben und dürfe die Hilfe verweigern. III. A wandte sich am 18. Juli 2001 mit Beschwerde an das Verwaltungsgericht und beantragte die Aufhebung von Ziffer 5 der Verfügung der Beschwerdegegnerin, die Abänderung von Ziffer 7 der genannten Verfügung dahin gehend, dass die wirtschaftliche Hilfe auch für den Zeitraum ab dem 31. März 2001 unabhängig von einer Einwilligung des Beschwerdeführers in die vertrauensärztliche Untersuchung weiter auszurichten sei, sowie die Bestellung von Rechtsanwalt B als dessen unentgeltlichen Rechtsbeistand. Der Bezirksrat W beantragte am 30. Juli 2001 Abweisung der Beschwerde. Denselben Antrag stellte die Gemeinde X mit Beschwerdeantwort vom 3. August 2001. Das Verwaltungsgericht zieht in Erwägung: 1. a) Gemäss § 19c Abs. 2 des Verwaltungsrechtspflegegesetzes vom 24. Mai 1959/ 8. Juni 1997 (VRG) ist gegen Rekursentscheide der Bezirksräte die Beschwerde an das Verwaltungsgericht zulässig, wenn sie nicht (durch spezielle Gesetzesnorm) ausgeschlossen ist. Da eine solche derogierende Norm vorliegend fehlt (vgl. § 47 des Sozialhilfegesetzes vom 14. Juni 1981, SHG), sind sachliche und funktionelle Zuständigkeit des Verwaltungsgerichts gegeben. b) Die Beschwerde richtet sich zum Einen gegen die Anordnung einer vertrauensärztlichen Untersuchung des Beschwerdeführers. Obwohl nicht vollständig klar ist, welches Ziel die Beschwerdegegnerin damit verfolgt, ist davon auszugehen, dass damit der Sachverhalt ermittelt werden soll, auf Grund dessen dann allenfalls weitere Anordnungen gegenüber dem Beschwerdeführer getroffen werden. Dispositiv-Ziffer</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