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VB.2001.00199 vom 16. November 2001</w:t>
      </w:r>
    </w:p>
    <w:p>
      <w:r>
        <w:t>ZH Verwaltungsgericht, 2001-11-16, DE</w:t>
      </w:r>
    </w:p>
    <w:p>
      <w:r>
        <w:rPr>
          <w:b/>
        </w:rPr>
        <w:t xml:space="preserve">Quelle: </w:t>
      </w:r>
      <w:r>
        <w:t>https://mcp.opencaselaw.ch/entscheid/zh_verwaltungsgericht__VB.2001.00199</w:t>
      </w:r>
    </w:p>
    <w:p>
      <w:r>
        <w:t>FR: ZH_VERWALTUNGSGERICHT VB.2001.00199 du 16 novembre 2001</w:t>
      </w:r>
    </w:p>
    <w:p>
      <w:r>
        <w:t>IT: ZH_VERWALTUNGSGERICHT VB.2001.00199 del 16 novembre 2001</w:t>
      </w:r>
    </w:p>
    <w:p>
      <w:pPr>
        <w:pStyle w:val="Heading2"/>
      </w:pPr>
      <w:r>
        <w:t>Regeste</w:t>
      </w:r>
    </w:p>
    <w:p>
      <w:r>
        <w:t>Spitaltaxen | Aufklärung des Patienten über Kostenrisiken vor Eintritt in die Halbprivat-Abteilung Das Verwaltungsgericht ist zuständig (E. 1). Die Taxen entsprechen denjenigen für das Kantonsspital Winterthur. Von der TaxO kann durch Verträge abgewichen werden (E. 2a). Bereits bei Eintritt stand fest, dass der Beschwerdegegner stationär behandelt werden muss (E. 2b). Die Umstände sprechen gegen die Annahme, der Beschwerdegegner sei nicht in der Lage gewesen, seinen Versicherungsstatus zu besprechen (E. 2c). Die Patienten sind über ihre Rechte und Pflichten aufzuklären. Die Aufklärungspflicht umfasst auch die Kosten der Behandlung (E. 2d). Die Halbpatienten-Erklärung, die eine Belehrung über die Kostenfolgen enthält, nimmt nicht auf Unfallopfer Bezug; die Kosten einer Operation lassen sich gestützt darauf nicht abschätzen. Es fehlte damit an einer genügenden Aufklärung (E. 2e). Da der Beschwerdegegner den Entscheid des Bezirksrats nicht angefochten hat, ist an diesem festzuhalten. Es rechtfertigt sich aber, den vom Beschwerdegegner geschuldeten Betrag festzusetzen und von einer Rückweisung abzusehen (E. 2f). Es ergibt sich ein Betrag von Fr. 1'913.80.- (E. 2g) Offen bleiben kann, ob neben der Aufklärungs- auch eine Abklärungspflicht bezüglich der Angaben der eintretenden Patienten besteht (E. 2h). Der Beginn des Zinsenlaufs wurde richtig festgesetzt (E. 2i). Der Beschwerdegegner bestritt erst vor Bezirksrat die Rechtsmässigkeit der Aufhebung des Rechtsvorschlags (E. 3b). Das Verwaltungsgericht ist zur Aufhebung des Rechtsvorschlags befugt (E. 3c).</w:t>
      </w:r>
    </w:p>
    <w:p>
      <w:pPr>
        <w:pStyle w:val="Heading2"/>
      </w:pPr>
      <w:r>
        <w:t>Erwägungen</w:t>
      </w:r>
    </w:p>
    <w:p>
      <w:r>
        <w:rPr>
          <w:b/>
        </w:rPr>
        <w:t>E. 3</w:t>
      </w:r>
    </w:p>
    <w:p>
      <w:r>
        <w:t>a) Der Beschwerdegegner bestreitet im Beschwerdeverfahren, dass der Rechtsvorschlag vom Vorstand des Gesundheits- und Umweltdepartements am 2. Mai 2000 zu Recht beseitigt worden sei. b) In der Verfügung des Vorstandes des Gesundheits- und Umweltdepartementes der Stadt Zürich vom 2. Mai 2000 wurde der Rechtsvorschlag gegen die Betreibung Nr. 1 des Betreibungsamtes W vollumfänglich (d.h. im Umfang der ganzen Forderung von Fr. 8507.90 nebst Zins zu 5% seit 31. Juli 1999) aufgehoben. Dagegen erhob der Beschwer­degegner am 30. Mai 2000 Einsprache an den Stadtrat von Zürich, ohne auf die Beseitigung des Rechtsvorschlages einzugehen; der Stadtrat wies mit Beschluss vom 23. August 2000 die Einsprache vollumfänglich ab. Erst im Rekursverfahren vor Bezirksrat beanstandete der Beschwerdegegner die Rechtmässigkeit der Beseitigung des Rechts­vor­schla­ges. Der Bezirksrat griff im angefochtenen Entscheid die Vorbringen des Beschwerdegegners zur Beseitigung des Rechtsvorschlages zwar auf, ohne jedoch darüber zu entscheiden. Er hob in der Folge den Entscheid des Stadtrates vom 23. August 2000 auf und wies die Sache zur Rechnungsstellung im Sinne der Erwägungen an diesen zurück, was wiederum die Aufhebung des Rechtsvorschlages durch den Stadtrat in diesem Umfang impliziert. c) Der Beschwerdegegner verlangt in der Beschwerdeantwort lediglich die Bestätigung des vorinstanzlichen Entscheides. Damit ist die Frage der Beseitigung des Rechtsvorschlages als solche nicht angefochten. Im Übrigen steht es dem Verwaltungsgericht in der vorliegenden Konstellation zu, einen Rechtsvorschlag zu beseitigen (dazu BGE 119 V 329 E. 2b, mit Hinweisen). Ferner hält der Beschwerdegegner die Verfügung der Gesundheits- und Umweltdirektion vom 2. Mai 2000 als rechtlich unhaltbar, soweit darin die Rechtsöffnung angeordnet werde. Indessen kann im vorliegenden Verfahren auf die Kritik an der Ver­fügung vom 2. Mai 2000 nicht mehr eingegangen werden.</w:t>
      </w:r>
    </w:p>
    <w:p>
      <w:r>
        <w:rPr>
          <w:b/>
        </w:rPr>
        <w:t>E. 4</w:t>
      </w:r>
    </w:p>
    <w:p>
      <w:r>
        <w:t>... Demgemäss entscheidet die Kammer: 1.    Die Beschwerde wird im Sinne der Erwägungen abgewiesen. Der Beschwerdegegner wird verpflichtet, der Beschwerdeführerin den Betrag von Fr. 1'913.80 zuzüglich 5% Zins seit 31. Juli 1999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