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VB.2001.00189 vom 23. Oktober 2002</w:t>
      </w:r>
    </w:p>
    <w:p>
      <w:r>
        <w:t>ZH Verwaltungsgericht, 2002-10-23, DE</w:t>
      </w:r>
    </w:p>
    <w:p>
      <w:r>
        <w:rPr>
          <w:b/>
        </w:rPr>
        <w:t xml:space="preserve">Quelle: </w:t>
      </w:r>
      <w:r>
        <w:t>https://mcp.opencaselaw.ch/entscheid/zh_verwaltungsgericht__VB.2001.00189</w:t>
      </w:r>
    </w:p>
    <w:p>
      <w:r>
        <w:t>FR: ZH_VERWALTUNGSGERICHT VB.2001.00189 du 23 octobre 2002</w:t>
      </w:r>
    </w:p>
    <w:p>
      <w:r>
        <w:t>IT: ZH_VERWALTUNGSGERICHT VB.2001.00189 del 23 ottobre 2002</w:t>
      </w:r>
    </w:p>
    <w:p>
      <w:pPr>
        <w:pStyle w:val="Heading2"/>
      </w:pPr>
      <w:r>
        <w:t>Regeste</w:t>
      </w:r>
    </w:p>
    <w:p>
      <w:r>
        <w:t>Baubewilligung | Ausstandspflichten (Verlassen des Raums) Keine Anhaltspunkte dafür, dass sich der Gemeinderat, der in den Ausstand getreten ist, seiner Aufgabe vorschnell aus sachfremden Gründen entzogen hat (E. 1a). Anderes Ergebnis, wenn der Ausstand streitig gewesen wäre (obiter dictum E. 1b). Pflicht des befangenen Behördenmitglieds, den Raum zu verlassen (E. 2). Formelle Natur der Ausstandsnormen (E. 3a). "Heilung" fragwürdig, vorliegend ohnehin ausgeschlossen. Aufhebung des vor- und erstinstanzlichen Entscheids (E. 3b). Kosten- (E. 4a) und Entschädigungsfolgen (E. 4b).</w:t>
      </w:r>
    </w:p>
    <w:p>
      <w:pPr>
        <w:pStyle w:val="Heading2"/>
      </w:pPr>
      <w:r>
        <w:t>Erwägungen</w:t>
      </w:r>
    </w:p>
    <w:p>
      <w:r>
        <w:rPr>
          <w:b/>
        </w:rPr>
        <w:t>E. 2</w:t>
      </w:r>
    </w:p>
    <w:p>
      <w:r>
        <w:t>Konnte ein Behördenmitglied, wie hier, die Voraussetzungen für den Ausstand zu Recht bejahen, fragt sich als Nächstes, ob es bei der Beratung und der Beschlussfassung im Raum anwesend sein durfte. Wenn ein Amtsträger in den Ausstand tritt, stellt sich für seine Kollegen notgedrun­gen die Frage, weshalb dieser Befangenheit bejaht hat. Die Gründe dafür sind vielfältig: En­ge persönliche Beziehungen zu einer Partei kommen dafür ebenso in Frage wie wirtschaftliche Abhängigkeits- oder Konkurrenzverhältnisse. Bleibt das Behördenmitglied im Raum anwesend, werden seine Kollegen vorsichtigerweise darauf Acht geben, über die be­treffende Partei ”nichts Falsches” zu sagen (sie könnte ja zum Beispiel mit dem Behörden­mitglied eng befreundet sein). Die verbleibenden Mitglieder sind damit in ihrer Willensbildung und Meinungsäusserung nicht mehr frei. Deshalb hat ein befangener Amtsträger den Raum während der Beratung und der Abstimmung stets zu verlassen, unbesehen davon, ob er freiwillig oder erst auf Begehren hin in den Ausstand getreten ist (Benjamin Schindler, Die Befangenheit der Verwaltung, Zürich 2002, S. 87 f.; H.R. Thalmann, Kommentar zum Zürcher Gemeindegesetz, 3. A., Zürich 2000, § 70 Rz. 6.3). Bleibt ein befangenes Mitglied im Raum anwesend, wird der Anspruch auf die richtige Zusammensetzung der Behörde (Art. 29 Abs. 1 BV) verletzt.</w:t>
      </w:r>
    </w:p>
    <w:p>
      <w:r>
        <w:rPr>
          <w:b/>
        </w:rPr>
        <w:t>E. 3</w:t>
      </w:r>
    </w:p>
    <w:p>
      <w:r>
        <w:t>Damit stellt sich die Frage, welche Rechtsfolgen die Verletzung von Art. 29 Abs. 1 BV nach sich zieht. a) In einem neueren Urteil schützte das Bundesgericht die Auffassung einer kantonalen Behörde, wonach die Verletzung einer Ausstandspflicht nur dann zur Aufhebung des angefochtenen Entscheids führe, ”wenn der Mangel das Ergebnis entscheidend habe beeinflussen können” (BGer, 20. Juni 2000, ZBl 103/2002, S. 36, E. 2c bb). Das Urteil widerspricht der konstanten bundesgerichtlichen Rechtsprechung, wonach die Verletzung von Aus­stands­normen in jedem Fall zur Aufhebung des angefochtenen Entscheids führt (”formelle Natur”: BGr, 14. Februar 1997, ZBl 99/1998, S. 289, E. 4 mit Hinweisen). An dieser Rechtsprechung ist festzuhalten; für eine Änderung fehlt es bereits an ernsthaften bzw. sach­lichen Gründen (vgl. BGE 127 I 49, E. 3c a.E.). b) Das Bundesgericht hat sodann erwogen, dass die fehlerhafte Zusammensetzung der erstinstanzlichen Behörde allenfalls durch die korrekt besetzte Rechtsmittelbehörde ”ge­heilt” werden könnte (BGr, 14. Februar 1997, ZBl 99/1998, S. 289, E. 4), so etwa wenn die Beeinflussung des Entscheids durch den Fehler offensichtlich ausgeschlossen erscheint (vgl. Max Imboden/René A. Rhinow, Schweizerische Verwaltungsrechtsprechung, Basel/ Frank­furt a.M. 1986, Band I, Nr. 90 B VI, S. 558). – Ob eine solche Heilung überhaupt zu­lässig wäre, braucht hier nicht entschieden zu werden (ablehnend Kiener, S. 368; im Ergeb­nis auch EGMR, 26. Oktober 1984, De Cubber gegen Belgien, Serie A Nr. 86, Ziff. 33; zurückhaltend Alfred Kölz/Isabelle Häner, Verwaltungsverfahren und Verwaltungsrechtspflege des Bundes, 2. A., Zürich 1998, Rz. 257; Ruth Herzog, Art. 6 EMRK und kantonale Verwaltungsrechtspflege, Bern 1995, S. 310 f.): Vorliegend beeinflusste die Anwesenheit des befangenen Behördenmitglieds den Entscheid des Gemeinderates zumindest potentiell. Dieser ist somit aufzuheben, ebenso jener der Vorinstanz, der diese Schlussfolgerung zu Unrecht nicht gezogen hat.</w:t>
      </w:r>
    </w:p>
    <w:p>
      <w:r>
        <w:rPr>
          <w:b/>
        </w:rPr>
        <w:t>E. 4</w:t>
      </w:r>
    </w:p>
    <w:p>
      <w:r>
        <w:t>a) Die Kosten des Rekursverfahrens sind nach dem Gesagten neu zu verlegen. Kostenpflichtig werden die nunmehr unterliegenden Beschwerdegegner (§ 13 Abs. 2 VRG). Diese haben auch die Kosten des Beschwerdeverfahrens zu tragen (§ 13 Abs. 2 in Verbindung mit § 70 VRG). b) Der private Beschwerdegegner hat vor Verwaltungsgericht zwar keine Anträge gestellt; er gilt gleichwohl als ”unterliegend” im Sinne von § 17 Abs. 2 VRG (RB 1997 Nr. 6), womit er aufgrund von § 17 Abs. 3 VRG zur Entrichtung einer Parteientschädigung an den nunmehr obsiegenden Beschwerdeführer zu verpflichten ist. Die unterliegende Gemeinde wird dagegen nicht entschädigungspflichtig (Alfred Kölz/Jürg Bosshardt/Martin Röhl, Kommentar zum Verwaltungsrechtspflegegesetz des Kantons Zürich, 2. A., Zürich 1999, § 17 Rz. 46 ff.). Die Höhe der Parteientschädigung richtet sich unter anderem nach der Bedeutung der Streitsache, der Schwierigkeit des Prozesses und dem Zeitaufwand (§ 12 Abs. 1 der Gebührenverordnung des Verwaltungsgerichts vom 26. Juni 1997). Als angemes­sen erweisen sich für das Rekurs- und Beschwerdeverfahren zusammen Fr. 1'000.-. Demgemäss entscheidet das Verwaltungsgericht: 1.    Die Beschwerde wird gutgeheissen und der Entscheid der Baurekurskommission vom 9. Mai 2001 sowie jener des Gemeinderats von X vom 19. September 2000 werden aufgehoben. Die Akten werden zur Neuentscheidung im Sinne der Erwägungen an den Gemeinderat von X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