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VB.2001.00035 vom 17. Februar 2000</w:t>
      </w:r>
    </w:p>
    <w:p>
      <w:r>
        <w:t>ZH Verwaltungsgericht, 2000-02-17, DE</w:t>
      </w:r>
    </w:p>
    <w:p>
      <w:r>
        <w:rPr>
          <w:b/>
        </w:rPr>
        <w:t xml:space="preserve">Quelle: </w:t>
      </w:r>
      <w:r>
        <w:t>https://mcp.opencaselaw.ch/entscheid/zh_verwaltungsgericht__VB.2001.00035</w:t>
      </w:r>
    </w:p>
    <w:p>
      <w:r>
        <w:t>FR: ZH_VERWALTUNGSGERICHT VB.2001.00035 du 17 février 2000</w:t>
      </w:r>
    </w:p>
    <w:p>
      <w:r>
        <w:t>IT: ZH_VERWALTUNGSGERICHT VB.2001.00035 del 17 febbraio 2000</w:t>
      </w:r>
    </w:p>
    <w:p>
      <w:pPr>
        <w:pStyle w:val="Heading2"/>
      </w:pPr>
      <w:r>
        <w:t>Regeste</w:t>
      </w:r>
    </w:p>
    <w:p>
      <w:r>
        <w:t>Submission | Planungswettbewerb: Merkmale von Planungs- und Gesamtleistungswettbewerben (Anonymität, unabhängige Jury). Auch im Rahmen eines Einladungsverfahrens kann ein Planungswettbewerb durchgeführt werden. Bindung der Vergabeinstanz an die Empfehlung der Jury (E. 3a). Vorgehen bei der Gutheissung der Beschwerde: Rückweisung an die Vergabeinstanz zur Erteilung des Zuschlags an die Beschwerdeführer. Keine direkte Vergabe durch das Verwaltungsgericht aus Rücksicht auf allenfalls erfolderliche Nebenbestimmungen oder ergänzende vertragliche Regelungen (E. 3c).</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Die Beschwerdeführer beanstanden, dass die Motive des angefochtenen Ent­scheids lediglich aus der Begründung der Beschwerdeantwort hervorgingen, die überdies nicht von den Organen des Beschwerdegegners verfasst und unterzeichnet sei. Da der Verfasser der Eingabe Mitglied des Be­ur­tei­lungs­gre­mi­ums gewesen sei, stelle sich überdies die Frage, ob diese wegen des bestehenden Interessenkonflikts überhaupt zu beachten sei. a) Die Erteilung des Zuschlags stellt eine anfechtbare Verfügung dar und bedarf als solche einer Begründung. Die Begründungspflicht ergibt sich aus dem An­spruch auf rechtliches Ge­hör und wird überdies in § 10 Abs. 2 des Verwaltungsrechts­pflegegesetzes vom 24. Mai 1959/8. Juni 1997 (VRG) ausdrücklich festgehalten. Nach den Spezialvorschriften von Art. 13 lit. h IVöB und § 33 der Submissionsverordnung vom 18. Juni 1997 (SubmV) ist die Vergabestelle indessen bei der Eröffnung des Zuschlags le­diglich zu einer kurzen Be­gründung bzw. zur Mit­tei­lung einiger vorwiegend formeller An­gaben verpflichtet (§ 33 Abs. 1 SubmV); erst auf Gesuch eines An­bieters hat sie diesem die wesentlichen Gründe für seine Nichtberück­sichtigung bekannt zu geben (§ 33 Abs. 2 SubmV). Überdies kann die Vergabeinstanz eine ungenügende Begründung im Rahmen des Beschwerdeverfahrens ergänzen, wodurch eine allfällige Verletzung des Anspruchs auf rechtliches Gehör geheilt wird (vgl. zum Ganzen VGr, RB 2000 Nr. 59 = BEZ 2000 Nr. 25 E. 4). Im vorliegenden Verfahren hat der Be­schwer­de­geg­ne­r seinen Ent­scheid im Rahmen der Beschwerdeantwort eingehend begründet, und die Beschwerdeführer erhielten Gele­gen­­heit, in der Replik zu diesen Gründen Stellung zu nehmen. Der Nachteil, der ihnen aus dem ursprünglichen Fehlen einer ausreichenden Begründung erwach­sen ist, wurde damit behoben (vgl. Kölz/Bosshart/Röhl, § 10 N. 45). b) Dass der Beschwerdegegner seine Stellungnahmen zuhanden des Ver­wal­tungs­ge­­­richts durch einen Vertreter ausarbeiten liess, ist nicht zu beanstanden. Er bleibt dabei für den Inhalt der Eingaben verantwortlich und hat für eine ausreichende Instruktion des Vertreters zu sorgen. Eine allfällige Diskrepanz zwischen dessen Stellungnahmen und den Erwägungen der Behörde anlässlich ihrer Beschlussfassung ist bei der materiellen Prüfung der Beschwerde zu beurteilen. Inwiefern aus der Tatsache, dass der Vertreter des Beschwerdegegners zuvor Mitglied des Be­ur­tei­lungs­gre­mi­um war, ein rechtlich relevanter Interessenkonflikt resultieren könnte, ist nicht ersichtlich. Auf die Gültigkeit der vom Vertreter eingereichten Rechtsschrif­ten hat dies jedenfalls keinen Einfluss. Dass das Be­ur­tei­lungs­gre­mi­um nicht über die nötige Unabhängigkeit verfügt habe, weil Vertreter des Beschwerdegegners darin mitwirk­ten, wird von den Beschwerdeführern nicht geltend gemacht; sie berufen sich im Gegenteil auf den Ent­scheid dieses ­Gre­mi­ums, das dem Beschwerdegegner die Weiterbearbeitung ihres Wettbewerbsbeitrags empfohlen hat. Die Einwendungen der Beschwerdeführer erwei­sen sich damit als unbegründet.</w:t>
      </w:r>
    </w:p>
    <w:p>
      <w:r>
        <w:rPr>
          <w:b/>
        </w:rPr>
        <w:t>E. 3</w:t>
      </w:r>
    </w:p>
    <w:p>
      <w:r>
        <w:t>In der Hauptsache machen die Beschwerdeführer geltend, dass die im Programm des Studienauftrags bekannt gegebene Absicht, den Folgeauftrag entsprechend der Empfeh­­lung des Beurteilungsgremiums zu erteilen, für den Beschwerdegegner verbindlich sei. Nachdem das Beurteilungsgremium das Projekt der Beschwerdeführer zur Weiterbearbeitung empfohlen habe, sei der Beschwerdegegner nicht befugt, den Zuschlag an einen anderen Anbieter zu erteilen. Der Beschwerdegegner wendet ein, dass er keinen eigentlichen Architekturwettbewerb, sondern ein Einladungsverfahren durchgeführt habe, bei dem ledig­lich einzelne Elemente eines Architekturwettbewerbs übernommen worden seien. Auch widerspreche das vom Beurteilungsgremium empfohlene Projekt den baurechtlichen Vorschriften und halte den zur Verfügung stehenden Kostenrahmen nicht ein, so dass seiner Rea­lisierung erhebliche Hindernisse entgegen stünden. a) aa) Für die Vergabe des strittigen Architekturauftrags hat der Beschwerdegegner das Einladungsverfahren gewählt. Dass dieses aufgrund des erwarteten Auftragswerts zuläs­sig war, wird von den Beschwerdeführern nicht bestritten. Das eingeschlagene Verfahren wies jedoch verschiedene Besonderheiten auf: Den fünf eingeladenen Anbietern wurden Studienaufträge erteilt, für deren Bearbeitung ein Honorar von je Fr. 6'000.- zur Verfügung stand; die Studien mussten anonym eingereicht werden; sie wurden durch ein Beurtei­lungsgremium begutachtet, dem neben Vertretern des Beschwerdegegners auch externe, vom Beschwerdegegner unabhängige Fachleute angehörten; und der Beschwerdegegner gab bei der Erteilung der Studienaufträge bekannt, dass er beabsichtige, den Folgeauftrag für die Architekturleistungen entsprechend der Empfehlung des Beurteilungsgremiums zu erteilen. Das Verfahren ent­hielt damit Elemente eines Planungs- oder Gesamtleistungswettbewerbs im Sinn von § 11 Abs. 1 lit. k SubmV. Nach dieser Vorschrift kann ein Auftrag dem Gewinner eines Wettbe­werbs erteilt werden, wenn die Organisation des Wettbewerbs den Grundsätzen des Vergaberechts, insbesondere hinsichtlich der Veröffentlichung der Einladung zur Teilnahme, ent­spricht und zur Beurteilung eine unabhängige Jury eingesetzt wird. Die Sub­mis­si­ons­ver­ord­nung enthält keine Umschreibung der genannten Wettbewerbs­arten. Die verwendete Terminologie entspricht indessen jener des Bundesrechts, das den Pla­nungs- und Ge­samt­leis­tungs­wett­be­werb in Art. 40–57 der Verordnung vom 11. De­zember 1995 über das öffentliche Beschaffungswesen (VoeB) re­gelt. Im Antrag des Regierungsrats an den Kan­tonsrat zur Genehmigung der Sub­mis­si­ons­ver­ord­nung war in diesem Zusammenhang denn auch auf Art. 40–57 VoeB hingewiesen worden (ABl 1997, 892). Es erscheint daher als naheliegend, die Definitionen des Bundes­rechts zumindest sinngemäss heranzuziehen (vgl. auch die entsprechenden Definitionen der SIA-Ordnung 142 für Archi­tek­tur- und In­genieurwettbewerbe, Ausgabe 1998; ferner Peter Galli/Daniel Lehmann/Pe­ter Rechsteiner, Das öf­fent­li­che Be­schaf­fungs­we­sen in der Schweiz, Zürich 1996, N. 643 ff.). Beim vorliegend strittigen Auftrag geht es um Architekturleistungen für den Umbau eines Alters- und Pflegeheims, was den Merkmalen eines Projektwettbewerbs als Unterart des Planungswettbewerbs entspricht (vgl. Art. 55 Abs. 1 lit. b VoeB; SIA-Ordnung 142, Art. 3.3). bb) Wettbewerbe im Sinn der genannten Vorschriften unterscheiden sich von "gewöhnlichen" Sub­missionen vor allem durch die anonyme Durchführung und die Beurteilung durch eine unabhängige Jury. Dass zur Beurteilung eine unabhängige Jury einzusetzen ist, ergibt sich für das Zürcher Recht aus § 11 Abs. 1 lit. k SubmV und entspricht Art. XV Ziff. 1 lit. j des GATT/WTO-Über­ein­kom­mens vom 15. April 1994 über das öffentliche Beschaffungs­wesen (Govern­ment Pro­cure­ment Agree­ment; GPA), auf welche Be­stimmung sich die kan­tonale Vorschrift stützt (vgl. ABl 1997, 892). Die Unabhängigkeit der Jury wird auch vom Bundesrecht (Art. 50 Abs.</w:t>
      </w:r>
    </w:p>
    <w:p>
      <w:r>
        <w:rPr>
          <w:b/>
        </w:rPr>
        <w:t>E. 4</w:t>
      </w:r>
    </w:p>
    <w:p>
      <w:r>
        <w:t>... Demgemäss entscheidet das Verwaltungsgericht: 1.    Die Beschwerde wird gutgeheissen und der angefochtene Vergabeentscheid der Fürsor­gebehörde X aufgehoben. Die Sache wird an die Fürsorgebehörde zu­rückgewiesen, um den Zuschlag an die Beschwerdeführer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