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VB.2000.00406 vom 6. Juni 2001</w:t>
      </w:r>
    </w:p>
    <w:p>
      <w:r>
        <w:t>ZH Verwaltungsgericht, 2001-06-06, DE</w:t>
      </w:r>
    </w:p>
    <w:p>
      <w:r>
        <w:rPr>
          <w:b/>
        </w:rPr>
        <w:t xml:space="preserve">Quelle: </w:t>
      </w:r>
      <w:r>
        <w:t>https://mcp.opencaselaw.ch/entscheid/zh_verwaltungsgericht__VB.2000.00406</w:t>
      </w:r>
    </w:p>
    <w:p>
      <w:r>
        <w:t>FR: ZH_VERWALTUNGSGERICHT VB.2000.00406 du 6 juin 2001</w:t>
      </w:r>
    </w:p>
    <w:p>
      <w:r>
        <w:t>IT: ZH_VERWALTUNGSGERICHT VB.2000.00406 del 6 giugno 2001</w:t>
      </w:r>
    </w:p>
    <w:p>
      <w:pPr>
        <w:pStyle w:val="Heading2"/>
      </w:pPr>
      <w:r>
        <w:t>Regeste</w:t>
      </w:r>
    </w:p>
    <w:p>
      <w:r>
        <w:t>Submission | Stromlieferungsvertrag. Der Auftrag zur Lieferung elektrischer Energie stellt keine öffentliche Beschaffung im Sinn des Submissionsrechts dar (E. 4). Keine unmittelbare Zuständigkeit des Verwaltungsgerichts im Sinn von § 82 lit. i und k VRG (E. 5).</w:t>
      </w:r>
    </w:p>
    <w:p>
      <w:pPr>
        <w:pStyle w:val="Heading2"/>
      </w:pPr>
      <w:r>
        <w:t>Erwägungen</w:t>
      </w:r>
    </w:p>
    <w:p>
      <w:r>
        <w:rPr>
          <w:b/>
        </w:rPr>
        <w:t>E. 1</w:t>
      </w:r>
    </w:p>
    <w:p>
      <w:r>
        <w:t>Zu den von der Be­schwer­de­geg­ne­rin am 25. Mai 2001 neu eingereichten Unter­lagen, insbesondere zum Ent­scheid der Wett­be­werbs­kom­mis­si­on vom 5. März 2001, konn­ten die übrigen Verfahrensbeteiligten bis heute nicht Stellung nehmen. Da die Unterlagen jedoch nicht zugunsten der Be­schwer­de­geg­ne­rin verwendet werden, entsteht ihnen daraus kein Nachteil.</w:t>
      </w:r>
    </w:p>
    <w:p>
      <w:r>
        <w:rPr>
          <w:b/>
        </w:rPr>
        <w:t>E. 2</w:t>
      </w:r>
    </w:p>
    <w:p>
      <w:r>
        <w:t>Die Beschwerde an das Ver­wal­tungs­ge­richt gemäss Art. 15 der Interkantonalen Vereinbarung über das öffentliche Beschaffungswesen vom 25. November 1994 (IVöB) und § 3 des Gesetzes vom 22. September 1996 über den Beitritt des Kantons Zürich zur Interkantonalen Vereinbarung (IVöB-BeitrittsG) ist ein besonderes Rechtsmittel, das der Gesetzgeber für den speziellen Sachbereich des öffentlichen Vergaberechts zur Verfügung stellt und das den Beschwerdeführenden – in Abweichung von den Grundsätzen des Ver­waltungsrechtspflegegesetzes vom 24. Mai 1959/8. Juni 1997 (VRG) – die Anfechtung des erstinstanzlichen Entscheids unmittelbar beim Ver­wal­tungs­ge­richt ermöglicht. Dieser di­rekte Weg an das Ver­wal­tungs­ge­richt steht nur offen, wenn der angefochtene Rechtsakt den Vorschriften über die Vergabe öffentlicher Aufträge untersteht (VGr, 6. Juli 2000, BEZ 2000 Nr. 44; 24. August 2000, BEZ 2000 Nr. 57). Es stellt sich daher die Frage, ob dies beim vorliegend strittigen Rechtsgeschäft – dem Abschluss eines Elektrizitätsliefe­rungsvertrags durch eine gemeindeeigene Elektrizitätsversorgung – der Fall ist. Im Hinblick darauf ist einerseits zu prüfen, ob die Be­schwer­de­geg­ne­rin bei der Ver­gabe öffentlicher Aufträge grundsätzlich an das Submissionsrecht gebunden ist (nachste­hend E. 3), und anderseits, ob der Abschluss eines Elektrizitätslieferungsvertrags eine öf­fentliche Beschaffung im Sinn dieser Vorschriften darstellt (hinten E. 4).</w:t>
      </w:r>
    </w:p>
    <w:p>
      <w:r>
        <w:rPr>
          <w:b/>
        </w:rPr>
        <w:t>E. 3</w:t>
      </w:r>
    </w:p>
    <w:p>
      <w:r>
        <w:t>Die gemeindeeigene Elektrizitätsversorgung der Be­schwer­de­geg­ne­rin untersteht als Organisation, die im Sektor der Energieversorgung gemäss Art. 8 Abs. 1 lit. c IVöB tätig ist, den Bestimmungen der Interkantonalen Vereinbarung. Überdies hat der Regie­rungsrat die Bestimmungen des Beitrittsge­setzes und der Submissionsverordnung gestützt auf § 2 Abs. 2 und § 7 Abs. 1 IVöB-BeitrittsG auch auf öffentliche Beschaffungen der Gemeinden an­wend­bar erklärt, welche der Interkantonalen Vereinbarung nicht unterstehen. Dies geschah zunächst mit § 1 Abs. 3 der Submissionsverordnung vom 18. Juni 1997 (SubmV) insoweit, als die Gemeinden für ihren Zuständigkeitsbereich keine eigene genü­gende Regelung getroffen hatten. Mit Beschluss vom 1. Juli 1998 bezog der Regierungsrat sodann die Gemeinden, Gemeindeverbände und anderen öffentlichrechtlichen Körperschaf­ten mit Wirkung ab 1. Januar 1999 umfassend in die kantonale Regelung des Beschaf­fungs­wesens ein (vgl. VGr, 24. März 1999, BEZ 1999 Nr. 13 E. 1). Diese kantonalrechtli­che Ordnung entspricht der Rechtsprechung des Bundesgerichts zu Art. 9 Abs. 2 des Bun­desgesetzes vom 6. Oktober 1995 über den Bin­nen­markt (BGBM; vgl. BGE 125 I 406 E. 2). Öffentliche Beschaffungen der Be­schwer­de­geg­ne­rin und ihrer gemeindeeigenen Elek­tri­zi­täts­ver­sor­gung unterstehen somit den Bestimmungen des interkantonalen und kantonalen Sub­mis­si­ons­rechts. Dieser Grundsatz wird auch von den Parteien des vorlie­genden Verfahrens nicht bestritten.</w:t>
      </w:r>
    </w:p>
    <w:p>
      <w:r>
        <w:rPr>
          <w:b/>
        </w:rPr>
        <w:t>E. 4</w:t>
      </w:r>
    </w:p>
    <w:p>
      <w:r>
        <w:t>Damit stellt sich die weitere Frage, ob der Auftrag zur Lieferung elektrischer Energie eine öffentliche Beschaffung im Sinn der genannten Vorschriften betrifft. a) Das GATT/WTO-Über­ein­kom­men vom 15. April 1994 über das öffentliche Be­schaffungswesen (Govern­ment Pro­cure­ment Agree­ment [GPA]) umschreibt die öffentli­chen Beschaffungen, die dem Abkommen unterliegen, in Anhang I, Annexe 1–5. Gemäss Annex 3 ist das Übereinkommen u.a. anwendbar auf öffentliche Unternehmungen, die im Bereich der Produktion, des Transports oder der Verteilung elektrischer Energie tätig sind. Davon ausgeschlossen sind jedoch nach Anmerkung 5 zu Annex 3 Aufträge zur Lieferung von Energie (vgl. die GATT-Botschaft 1, BBl 1994 IV 364 f.). Aus dem Über­ein­kom­men ergibt sich somit keine Verpflichtung der Schweiz bzw. ihrer Kantone, Aufträge von Un­ternehmungen der Elektrizitätsversorgung betreffend den Kauf elektrischer Energie sub­mis­sionsrechtlichen Regeln zu unterstellen. Aufgrund der Systematik des GATT/WTO-Übereinkommens ist überdies davon aus­zugehen, dass der Ausschluss der Elektrizitätslieferungen von dessen Anwendungsbe­reich nicht nur Beschaffungen durch Unternehmen der Elektrizitätsversorgung betrifft, son­dern allgemeine Bedeutung hat. Es wäre widersprüchlich, wenn der Kauf elektrischer Ener­gie durch staatliche Stellen, die nicht im Bereich der Energieversorgung tätig sind, dem Ab­kommen unterstünde, während dies bei Unternehmen der Elektrizitätsversorgung nicht zuträfe. Der in Anmerkung 5 zu Annex 3 festgehaltene Ausschluss derartiger Lieferungen vom Anwen­dungsbereich des Abkommens ist daher nicht als eigentliche Ausnahme, son­dern vielmehr als Bestätigung der generellen Nichtanwendbarkeit des Abkommens auf die­se Lieferungen zu verstehen. Vorliegend gehen denn auch alle Beteiligten des Beschwerde­verfahrens davon aus, dass sich aus der staatsvertraglichen Regelung keine Verpflichtung der Schweiz zur Unterstellung von Energielieferungen unter das öffentliche Beschaffungs­recht ergibt. b) Eine derartige Verpflichtung werden auch die noch nicht in Kraft stehenden sektoriellen Abkommen mit der EU nicht begründen. Das Abkommen zwischen der Euro­päischen Gemeinschaft und der Schweizerischen Eid­ge­nos­sen­schaft über bestimmte As­pek­te des öffentlichen Beschaffungswesens (BBl 1999 6504) soll zwar auch für Unterneh­mungen der Elektrizitätsversorgung gelten und enthält eine nähere Umschreibung der in diesem Bereich erfassten privaten Betriebe (Art. 3 Abs. 2 lit. f sowie Anhang IV). Die Ver­gabe von Aufträgen zur Lieferung von Energie wird jedoch ausdrücklich vom Anwen­dungs­bereich ausgenommen (Art. 3 Abs. 7 und Anhang VIII lit. f). c) Die Interkantonale Vereinbarung über das öffentliche Beschaffungswesen um­schreibt die ihrem Anwendungsbereich unterliegenden Auftragsarten in Art. 6. Von vorn­herein ausser Betracht fällt dabei für Elektrizitätslieferungen die Kategorie der Bauauf­träge. Auch zu den Dienst­leis­tungsaufträgen können sie nicht gerechnet werden, da sie in der dafür massgeblichen Aufzählung in Anhang I, Annex 4 des GATT/WTO-Über­ein­kom­mens, auf welche Art. 6 Abs. 1 lit. c IVöB verweist, nicht erwähnt sind. Als Lieferaufträge bezeichnet Art. 6 Abs. 1 lit. b IVöB Verträge zwischen Auftrag­gebern und Anbietenden über die "Beschaffung beweglicher Güter". Eine gleichlautende Umschreibung findet sich in Art. 5 des Bundesgesetzes vom 16. Dezember 1994 über das öffentliche Beschaffungswesen (BoeB). Dieser Wortlaut gibt auf die Frage nach dem Ein­bezug von Elektrizitätslieferungen keine eindeutige Antwort. Zwar zählt elektrische Ener­gie nach allgemeinem Sprachgebrauch nicht zu den beweglichen Gütern. Nach Art. 713 des Schweizerischen Zivilgesetzbuchs vom 10. Dezember 1907 (ZGB) sind jedoch Natur­kräfte, die der rechtlichen Herrschaft unterworfen werden können und nicht zu den Grund­stücken gehören, Gegenstand des Fahrniseigentums. Dazu zählt unbestrittenermassen auch die elektrische Energie. Die Vorschriften über bewegliche Sachen lassen sich jedoch selbst im unmittelbaren Anwendungsbereich von Art. 713 ZGB nur analog auf Energien übertra­gen (vgl. Arthur Meier-Hayoz, Berner Kommentar zum Schweizerischen Privatrecht, Das Sachenrecht, 5. A., 1981, Systematischer Teil N. 226; Peter Liver, Schweizerisches Privat­recht, Band V/1, Basel 1977, S. 314; Peter Tuor/Bernhard Schnyder/Jörg Schmid, Das Schweizerische Zivilgesetzbuch, 11. A., Zürich 1995, S. 743 f.; Robert Haab, Zürcher Kom­mentar zum Schweizerischen Zivilgesetzbuch, Das Sachenrecht, 2. A., 1977, Einlei­tung N. 44 ff.), und auch die Regeln des Kaufvertrags sind nur sinngemäss auf Energielie­ferungen anwendbar (vgl. BGE 47 II 440 E. 1; 48 II 366 E. 2/3). Wieweit die Interkanto­nale Vereinbarung auf die Beschaffung elektrischer Energie zur Anwendung gelangt, lässt sich daher nicht anhand der Zuordnung von Art. 713 ZGB entscheiden, sondern muss aus dem Sinn und Zweck der anzuwendenden Vorschrift hervorgehen. Die Interkantonale Vereinbarung über das öffentliche Beschaffungswesen wurde vor allem geschaffen, um die mit dem GATT/WTO-Über­ein­kom­men eingegangenen Ver­pflichtungen ins kantonale Recht umzusetzen (vgl. den Antrag des Regierungsrats vom 15. November 1995 zum IVöB-BeitrG, ABl 1995, S. 2481 ff., 2492, 2496, 2499; ebenso die Musterbotschaft zur IVöB, Ausgangslage Ziff. 2 und 3a, Erläuterungen zu Art. 1, zit. nach Christian Bock [Hrsg.], Öffentliches Beschaffungsrecht, Submissionsrecht, Basel 1996, S. 219 ff.). In einzelnen Punk­ten wurde der Geltungsbereich der Vereinbarung ge­genüber dem GATT/WTO-Über­ein­kom­men bewusst erweitert, so mit Bezug auf Unter­nehmen des Sektors Telekommunikation sowie private Auftraggeber, die subventionierte Aufträge vergeben (Antrag des Regierungsrats, S. 2496). Die unterstellten Auftragsarten wurden jedoch nur in dem Umfang erfasst, welcher durch das GATT/WTO-Über­ein­kom­men vorgezeichnet ist (vgl. Herbert Lang, Binnenmarkt: Aktuelle Fragen bei der Anwen­dung des Binnenmarktgesetzes und der Interkantonalen Vereinbarung über das öffentliche Beschaffungswesen, in: Nicolas Michel/Ro­ger Zäch [Hrsg.], Submissionswesen im Bin­nenmarkt Schweiz, Zürich 1998, S. 25). Auch hinsichtlich der vorliegend interessierenden Beschaffung elektrischer Energie wurde keine Erweiterung vorgenommen; angesichts der praktischen Tragweite eines Einbezugs von Energielieferungen wäre dieser beim Erlass der Vereinbarung zweifellos zur Sprache gekommen. Es kann daher davon ausgegangen wer­den, dass die Beschaffung elektrischer Energie durch die Interkantonale Vereinbarung eben­so wenig erfasst wird wie durch das GATT/WTO-Über­ein­kom­men. Aus dem Umstand, dass die Interkantonale Vereinbarung den Annex 3 von An­hang I zum GPA – im Gegensatz zu den Annexen 4 und 5, welche die in Frage kommen­den Dienst­leis­tungs- und Bauaufträge umschreiben – nicht ausdrücklich erwähnt, lässt sich entgegen der Auffassung des Mitbeteiligten nichts anderes ableiten. Die Annexe 4 und 5 legen die massgeblichen Dienst­leis­tungs- und Bauaufträge für den ganzen Geltungsbereich des Übereinkommens in Listen fest, auf welche in Art. 6 Abs. 1 lit. a und c IVöB zweck­mäs­sigerweise verwiesen wird. Annex 3 umschreibt dagegen in detaillierter Form den Geltungsbereich des GPA in den Sektoren der Wasser-, Energie- und Verkehrsversorgung sowie der Telekommunikation. Sein Inhalt konnte nicht durch eine blosse Verweisung in die Interkantonale Vereinbarung übernommen werden, sondern wurde durch die Bestim­mungen von Art.</w:t>
      </w:r>
    </w:p>
    <w:p>
      <w:r>
        <w:rPr>
          <w:b/>
        </w:rPr>
        <w:t>E. 7</w:t>
      </w:r>
    </w:p>
    <w:p>
      <w:r>
        <w:t>Eine Überweisung an die zuständige Behörde im Sinn von § 5 Abs. 2 VRG ist nicht erforderlich, da der Beschwerdeführer zugleich mit der Beschwerde an das Ver­wal­tungs­ge­richt auch einen Rekurs beim Bezirksrat Meilen erhoben hat.</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