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VB.2000.00325 vom 21. Dezember 2000</w:t>
      </w:r>
    </w:p>
    <w:p>
      <w:r>
        <w:t>ZH Verwaltungsgericht, 2000-12-21, DE</w:t>
      </w:r>
    </w:p>
    <w:p>
      <w:r>
        <w:rPr>
          <w:b/>
        </w:rPr>
        <w:t xml:space="preserve">Quelle: </w:t>
      </w:r>
      <w:r>
        <w:t>https://mcp.opencaselaw.ch/entscheid/zh_verwaltungsgericht__VB.2000.00325</w:t>
      </w:r>
    </w:p>
    <w:p>
      <w:r>
        <w:t>FR: ZH_VERWALTUNGSGERICHT VB.2000.00325 du 21 décembre 2000</w:t>
      </w:r>
    </w:p>
    <w:p>
      <w:r>
        <w:t>IT: ZH_VERWALTUNGSGERICHT VB.2000.00325 del 21 dicembre 2000</w:t>
      </w:r>
    </w:p>
    <w:p>
      <w:pPr>
        <w:pStyle w:val="Heading2"/>
      </w:pPr>
      <w:r>
        <w:t>Regeste</w:t>
      </w:r>
    </w:p>
    <w:p>
      <w:r>
        <w:t>Wasser- und Abwassergebühren | Vereinbarkeit einer Gebührennachforderung für ursprünglich nicht erfasste Wasserbezüge mit dem Grundsatz des Vertrauensschutzes Das Verhältnis zwischen Versorgungsbetrieb und Bezügerin untersteht vorliegend dem öffentlichen Recht (E. 1b). Nicht mehr Streitgegenstand ist der Wasserverbrauch der Jahre 1989-1994 (E. 1d). Die Rechnungen der Beschwerdegegnerin stellten keine Verfügungen dar, die in Rechtskraft erwachsen konnten (E. 2b). Rechnungen können grundsätzlich Vertrauensgrundlagen darstellen (E. 2c aa). Die Angabe der abgelesenen Zähler stellt keinen Vorbehalt bezüglich nicht erfasster Wasserbezüge dar (E. 2c bb). Der massgebende Sachverhalt hat sich vor der allfälligen Vertrauenbetätigung der Beschwerdeführerin nicht geändert. Vielmehr sind die Parteien lange Zeit übereinstimmend von einem falschen Sachverhalt ausgegangen (E. 2c cc). Der Beschwerdeführerin kann nicht unterstellt werden, sie habe die fehlerhafte Installation veranlasst oder gekannt. Hingegen hätte sie als professionelle Liegenschaftenverwalterin bemerken müssen, dass die ursprünglich erfassten und fakturierten Wasserverbrauchshöhen unrealistisch tief waren (E. 2c dd). Der nicht erfasste Verbrauch ist nachträglich zu schätzen (E. 3a). Die Verbrauchsschätzungen der Beschwerdegegnerin anhand der nachträglichen Messungen sind nicht zu korrigieren (E. 3b, c). Ein höherer Leerwohnungsbestand in den fraglichen Jahren ist bei der Schätzung zu berücksichtigen (E. 3d). Entsprechende Verbrauchsminderungen werden dadurch kompensiert, dass die Schätzung der Beschwerdegegnerin den höheren (Kalt-)Wasserverbrauch dieser Jahre nicht berücksichtigt (E. 3e). Die Beschwerdeführerin kann der -gegnerin nicht entgegenhalten, sie habe einen Teil des nicht erfassten Wasserverbrauchs an eine Dritte weitergeleitet (E. 3f).</w:t>
      </w:r>
    </w:p>
    <w:p>
      <w:pPr>
        <w:pStyle w:val="Heading2"/>
      </w:pPr>
      <w:r>
        <w:t>Erwägungen</w:t>
      </w:r>
    </w:p>
    <w:p>
      <w:r>
        <w:rPr>
          <w:b/>
        </w:rPr>
        <w:t>E. 3</w:t>
      </w:r>
    </w:p>
    <w:p>
      <w:r>
        <w:t>und lag damit ungefähr einen Viertel höher als derjenige des Jahrs 1999. Rechnerische Verbrauchsminderungen aufgrund des Leerwohnungsbestands vergangener Jahre werden dadurch zumindest kompensiert. f) Zustimmend zu verweisen im Sinn von § 28 Abs. 1 Satz 2 in Verbindung mit § 70­ VRG ist auf die Erwägungen der Vorinstanz betreffend das Vorbringen der Beschwer­deführerin, ein Teil des geschätzten Warmwasserverbrauchs entfalle nicht auf sie, sondern auf drei von der Y AG verwaltete Liegenschaften, die es von ihr bezögen.</w:t>
      </w:r>
    </w:p>
    <w:p>
      <w:r>
        <w:rPr>
          <w:b/>
        </w:rPr>
        <w:t>E. 4</w:t>
      </w:r>
    </w:p>
    <w:p>
      <w:r>
        <w:t>Die Beschwerde ist damit in der Hauptsache abzuweisen. Ausgangsgemäss hat die Beschwerdeführerin die Kosten zu tragen (§ 13 Abs. 2 in Verbindung mit § 70 VRG). Vorliegende Streitsache rechtfertigte aufgrund ihres Streitwerts und der sich stellenden Rechtsfragen auch für ein Gemeinwesen den Beizug eines Anwalts. Die Beschwerdeführerin hat deshalb die Beschwerdegegnerin zu entschädigen (§ 17 Abs. 2 VRG; Kölz/Boss­hart/Röhl, § 17 N. 19 f.). Die von der Vorinstanz für das Rekursverfahren angesetzte Parteientschädigung von Fr. 4'500.- erscheint jedoch auch für beide Rechtsgänge zusammen zu hoch und ist auf Fr. 3'000.- zu reduzieren. Demgemäss entscheidet das Verwaltungsgericht: 1.    Die Beschwerde wird abgewiesen.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