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VB.2000.00250 vom 8. Dezember 2000</w:t>
      </w:r>
    </w:p>
    <w:p>
      <w:r>
        <w:t>ZH Verwaltungsgericht, 2000-12-08, DE</w:t>
      </w:r>
    </w:p>
    <w:p>
      <w:r>
        <w:rPr>
          <w:b/>
        </w:rPr>
        <w:t xml:space="preserve">Quelle: </w:t>
      </w:r>
      <w:r>
        <w:t>https://mcp.opencaselaw.ch/entscheid/zh_verwaltungsgericht__VB.2000.00250</w:t>
      </w:r>
    </w:p>
    <w:p>
      <w:r>
        <w:t>FR: ZH_VERWALTUNGSGERICHT VB.2000.00250 du 8 décembre 2000</w:t>
      </w:r>
    </w:p>
    <w:p>
      <w:r>
        <w:t>IT: ZH_VERWALTUNGSGERICHT VB.2000.00250 del 8 dicembre 2000</w:t>
      </w:r>
    </w:p>
    <w:p>
      <w:pPr>
        <w:pStyle w:val="Heading2"/>
      </w:pPr>
      <w:r>
        <w:t>Regeste</w:t>
      </w:r>
    </w:p>
    <w:p>
      <w:r>
        <w:t>Spitaltaxen | Haftung des Ehegatten für die Taxschuld des andern Eine ungültige Ehe hat zivilrechtlich bis zum gerichtlichen Urteil die Wirkungen einer gültigen (E. 2b). § 20 lit. a TaxO stellt auf die zivilrechtliche Wirkung der Ehe ab (E. 2c). Die behauptete Ungültigkeit steht somit der Haftung des Ehegatten nicht entgegen (E. 2d). Das Verwaltungsgericht prüft neben den Vorbringen der Parteien, ob andere klare Rechtsverletzungen vorliegen (E. 3a). Das Gesetz regelt den Kreis der Abgabepflichtigen nicht. Dies wäre aber notwendig, um die Pflicht über den Kreis der Leistungsbezüger hinaus zu erweitern. Die Genehmigung durch den Kantonsrat kann das formelle Gesetz nicht ersetzen. § 20 lit. a TaxO stellt somit keine genügende gesetzliche Grundlage dar (E. 3b). Eine Haftung des Beschwerdeführers nach Art. 166 ZGB scheitert schon daran, dass die Ehepartner zur fraglichen Zeit keinen gemeinsamen Wohnsitz mehr hatten (E. 4a). Zumindest fraglich ist auch, ob die Behandlung der Mitbeteiligten einem laufenden Bedürfnis der Familie entsprach (E. 4b).</w:t>
      </w:r>
    </w:p>
    <w:p>
      <w:pPr>
        <w:pStyle w:val="Heading2"/>
      </w:pPr>
      <w:r>
        <w:t>Erwägungen</w:t>
      </w:r>
    </w:p>
    <w:p>
      <w:r>
        <w:rPr>
          <w:b/>
        </w:rPr>
        <w:t>E. 3</w:t>
      </w:r>
    </w:p>
    <w:p>
      <w:r>
        <w:t>a) Der Beschwerdeführer brachte in der Beschwerdeschrift im Weiteren nichts gegen Bestand und Höhe der strittigen Taxforderung vor und beschränkte sich auch in sei­ner zweiten Eingabe auf den Beschluss vom 27. Oktober hin auf die pauschale Aussage, für die strittige Forderung gegen ihn bestehe keine gesetzliche Grundlage. Das Verwal­tungsgericht ist jedoch nicht darauf beschränkt, nur die gerügten Rechtsverletzungen zu berücksichtigen, sondern kann auch überprüfen, ob neben den vorgebrachten Mängeln klare Rechtsverletzungen vorliegen (Alfred Kölz/Jürg Bosshart/Martin Röhl, Kommentar zum Verwaltungsrechtspflegegesetz des Kantons Zürich, 2. A., Zürich 1999, § 50 N. 4). b) Es fragt sich, ob für die strittige Taxforderung eine genügende gesetzliche Grund­­­lage besteht. Bei der fraglichen Abgabe handelt es sich um eine Gebühr für die Be­nutzung einer öffentlichen Anstalt (Häfelin/Müller, Rz. 2045 f.). Nach herrschender Lehre und Rechtsprechung hat der Gesetzgeber wie bei den anderen Abgabearten zumindest den Kreis der Abgabepflichtigen, den Gegenstand der Abgabe sowie deren Höhe in Grundzü­gen festzulegen (BGE 126 I 180 E. 2a bb; 125 I 173 E. 9; 123 I 254 E. 2a; 122 I 61 E. 2a; Häfelin/Müller, Rz. 2096 f.). Vorliegend enthält das Gesundheitsgesetz vom 4. November 1962 (GesundheitsG) selbst keine Regelungen über den Kreis der Abgabepflichtigen sowie Gegenstand und Höhe der Abgabe betreffend die Spitaltaxen, sondern verweist in den §§ 42a und 83 lit. b auf eine Verordnung des Regierungsrats, die durch den Kantonsrat zu genehmigen ist. Pro­blematisch ist dies vorliegend jedenfalls hinsichtlich des Kreises der Abgabepflichtigen: Läge eine Taxforderung gegen die Anstaltsbenützerin selbst im Streit, so käme diesem Um­­stand möglicherweise nur geringe Bedeutung zu; für eine Ausdehnung der Gebühren­pflicht auf einen weiteren Kreis von Personen, die nicht selbst die staatliche Leistung be­zogen haben, ist hingegen grundsätzlich eine Grundlage im formellen Gesetz zu verlangen. Es fragt sich, ob die Genehmigung durch den Kantonsrat (vgl. § 31 TaxO) einen aus­reichenden Ersatz für die fehlende Regelung im Gesetz selbst bietet, wie dies die Be­schwerdegegnerin offenbar annimmt (act. --). Die Genehmigungspflicht von Verordnungen vermag wegen der fehlenden Mitwir­kung des Volks und der auf die gesamthafte Genehmigung oder Nichtgenehmigung be­schränkten Mitsprache des Kantonsrats (Georg Müller, Elemente einer Rechtssetzungs­lehre, Zürich 1999, Rz. 213; Hans Nef, Die Genehmigung von Verordnungen des Regie­rungsrates durch den Kantonsrat im Kanton Zürich, ZBl 78/1977, S. 241 ff., 256 ff.) demo­kratische Legitimation nur in einem viel geringeren Mass zu vermitteln als das formelle Gesetz. Dem Referendum nicht unterstehende Erlasse der kantonalen Parlamente genügen zudem nur dann dem Vorbehalt des formellen Gesetzes, wenn die Kantonsverfassung diese Form vorsieht (BGE 126 I 180 E. 2a; 124 I 216 E. 3a). Dies ist im Kanton Zürich nicht der Fall (Art. 37 ff. der Kantonsverfassung vom 18. April 1869). Das Abweichen von der or­dentlichen Form der Rechtsetzung müsste sich überdies durch besondere Umstände recht­fertigen, etwa die fehlende Eignung des ordentlichen Rechtsetzungorgans zur Regelung ei­ner schwierigen, insbesondere technisch geprägten Materie, oder durch ein grosses Flexi­bilitäts­be­dürfnis wegen häufiger Änderung der tatsächlichen Verhältnisse (vgl. Müller, Rz. 199 ff.). Solche Gründe für eine untergesetzliche Regelung bestehen aber bezüglich der vorlie­gen­den Frage nicht. Das Vorbringen des Beschwerdegegners, § 20 lit. a TaxO knüpfe an die Unterhalts­pflicht der Ehegatten gemäss Art. 163 ZGB an, führt nicht dazu, dass eine Verordnungsbe­stimmung als genügende gesetzliche Grundlage für die strittige Haftung des Ehegatten an­gesehen werden kann: Die Unterhaltspflicht betrifft das Verhältnis der Ehepartner unter­einander und stellt deshalb keinen geeigneten Vergleichsmassstab dar für die Regelung der Haftpflicht der Gatten gegenüber Dritten. Es drängt sich vielmehr ein Vergleich von § 20 lit. a TaxO mit Art. 166 ZGB auf, der ebenfalls die Haftung gegenüber Aussenstehenden ordnet. Soweit sich der Anwendungsbereich der beiden Normen deckt, hat die Nichtan­wend­barkeit der ersten Bestimmung keine praktischen Auswirkungen (vgl. E. 4 1. Ab­schnitt). Will der Kanton hingegen die öffentlichrechtliche Haftung der Ehegatten weiter fassen, wie dies i.c. der Fall ist (vgl. E. 4a und b), so genügt dafür eine Verordnung nicht. § 20 lit. a TaxO stellt somit keine genügende gesetzliche Grundlage dar für die Haftung des Beschwerdeführers für Spitalkosten seiner Ehefrau.</w:t>
      </w:r>
    </w:p>
    <w:p>
      <w:r>
        <w:rPr>
          <w:b/>
        </w:rPr>
        <w:t>E. 4</w:t>
      </w:r>
    </w:p>
    <w:p>
      <w:r>
        <w:t>Eine Haftung des Beschwerdeführers für die Spitalkosten seiner Ehefrau könnte sich jedoch aus Art. 166 Abs. 1 in Verbindung mit Abs. 3 ZGB ergeben. Die Tatsache, dass es sich bei der Ansprecherin und Beschwerdegegnerin um eine juristische Person des öffentlichen Rechts handelt, steht dem nicht entgegen (BGE 119 V 16 E. 2c, d m.H.). Eine Haftung nach Abs. 2 (in Verbindung mit Abs. 3) derselben Bestimmung fällt ausser Be­tracht, da keine der in Ziff. 1 und 2 dieser Norm genannten Voraussetzungen erfüllt ist. Die Haftung des Ehegatten nach Abs. 1 ist insbesondere von zwei Voraussetzungen abhängig: a) Ein Ehegatte kann den andern nur während ihres Zusammenlebens mitverpflich­ten. Der Beschwerdeführer bringt vor, er habe während des ganzen Jahrs 1997 bereits ge­trennt von seiner Gattin gelebt. Das gehe unter anderem daraus hervor, dass deren Vertreter im Zusammenhang mit dem Verfahren um Ungültigerklärung der Ehe gestützt auf eine Ver­­einbarung vom 16. September 1996 Unterhaltsbeiträge von ihm verlangt habe. Die Be­schwerdegegnerin hat sich zur Frage der Haftbarkeit des Beschwerdeführers nach Art. 166 ZGB nicht geäussert. Da auch die auf entsprechende Fristansetzung hin eingereichten Rechtsschriften der Parteien darüber keine definitive Klarheit gebracht haben, ist aus aktenkundigen Indizien darauf zu schliessen, ob Beschwerdeführer und Mitbeteiligte zur Zeit der streitbetroffenen Spitalbehandlung noch einen gemeinsamen Haushalt führten: Zwar hatte die Mitbeteiligte offenbar seit dem 1. April 1996 ununterbrochen Wohnsitz in der Gemeinde X (act. --) und erscheint als Adresse des Beschwerdeführers stets " K-str. XX, in X" (act. --). Die Adres­sen der Rechnungen an die Mit­beteiligte vom 20. April 1996 und vom 26. Juli 1997 (act. --) deuten jedoch auf ein Getrenntleben der Ehegatten zu diesen Zeitpunkten. Mit letzterer stimmt diejenige des Kos­­tengutspracheentscheids der Kranken­kasse vom 16. Juli 1997 (act. --) überein. Ins Gewicht fällt insbesondere die kurz nach der Spitalbehandlung ausge­stellte zweite Rech­nung. Dass der Vertreter der Mitbeteiligten sich in einem Schreiben an den Beschwerde­führer vom 4. Mai 2000 (act. --) auf eine angeb­liche Vereinbarung betref­fend Unterhalts­beträge vom 16. September 1996 bezieht, ist eben­falls ein – mangels akten­kundigen Belegs für das tatsächliche Bestehen dieser Verein­barung allerdings schwacher – Hinweis auf ein Getrenntleben. Demgegenüber liegen keine Indizien dafür vor, dass Be­schwerdeführer und Mitbeteiligte im Juni 1997 nicht nur in der­selben Gemeinde, sondern auch an der selben Ad­resse gewohnt haben. Es ist deshalb da­von auszugehen, dass die Ehe­leute in diesem Zeitraum getrennt lebten. Zu beweisen wären ohnehin primär die an­spruch­be­gründenden und nicht die anspruchshemmenden Tatsachen (Kölz/Bosshart/Röhl, § 7 N. 5). Bereits die erste Voraussetzung für eine Haftung des Be­schwerdeführers nach Art. 166 Abs. 1 in Verbindung mit Abs. 3 ZGB ist somit nicht erfüllt. b) Höchst fraglich ist überdies, ob die Spitalbehandlung der Mitbeteiligten einem laufenden Bedürfnis der Familie entsprach. Die Lehre legt diesen Begriff überwiegend re­striktiv aus: Er umfasse "die Geschäfte des notwendigen und üblichen täglichen Unterhalts der Familie" (Hegnauer/Breitschmid, N. 18.07) bzw. den "Kreis alltäglicher Bedarfs- dec­kung" (Franz Hasenböhler in Zürcher Kommentar, Zürich 1993, Art. 166 N. 37). Der Massstab bestimme sich "nach den finanziellen Verhältnissen, der vereinbarten bzw. an­gemessenen Lebenshaltung und nach der beruflichen und gesellschaftlichen Stellung der Ehegatten, ..." (Heinz Hausheer/Ruth Reusser/Thomas Geiser in Berner Kommentar, Bern 1999, Art. 166 N. 37). Auch die Auffassungen mit Bezug auf Gesundheitskosten sind relativ streng und weichen nur auf den ersten Blick erheblich voneinander ab: Nach der ei­nen gehören "die Kosten für geläufige Krankheiten, zahnärztliche Behandlungen, medi­zi­ni­sche Kontrollen, Operationen, mit denen jeder rechnen muss und die Folgen von Un­fällen bei Ausübung einer Sportart, der sich die ganze Familie widmet" zu den Ausgaben für den gemeinsamen Haushalt (Hasenböhler, Art. 166 N. 39 S. 271). Andere Autoren wol­len dazu "die Kosten einer den Verhältnissen der Familie angemessenen Krankenversi­che­rung und der gewöhnlichen Franchisen sowie Selbstbehalte" rechnen, da die obligatori­sche Kran­ken­versicherung eine ausreichende Grundversorgung gewährleistet und darüber hinaus gehen­de Bedürfnisse in einem angemessenen Rahmen durch Zusatzversicherungen abgedeckt wer­den können (Hausheer/Reusser/Geiser, Art. 166 N. 40 S. 300). Diese zweite Auffas­sung überzeugt. Vorliegend wurden die strittigen Behandlungskosten von der Krankenversicherung nur teilweise übernommen (act. --). Obwohl der Grund dafür hauptsächlich da­rin zu liegen scheint, dass die Mitbeteiligte ein Spital ausserhalb ihres Wohnkantons auf­suchte, kann nicht zu Lasten des erst später in die Angelegenheit involvierten Be­schwer­de­führers davon ausgegangen werden, der Spitalaufenthalt habe sich im Rahmen angemes­se­ner und übli­cher Behandlung (vgl. RB 1988 Nr. 93) gehalten. Aus diesem Grund ist die Spi­talbehand­lung der Mitbeteiligten nicht als Deckung eines laufenden Be­dürfnisses zu be­trachten.</w:t>
      </w:r>
    </w:p>
    <w:p>
      <w:r>
        <w:rPr>
          <w:b/>
        </w:rPr>
        <w:t>E. 5</w:t>
      </w:r>
    </w:p>
    <w:p>
      <w:r>
        <w:t>... Demgemäss entscheidet das Verwaltungsgericht: 1.    Die Beschwerde wird gutgeheissen. Die Verfügung des Universitätsspitals Zürich vom 4. Februar 2000 und diejenige der Gesundheitsdirektion vom 22. Juni 2000 werden auf­gehoben.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