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VB.2000.00198 vom 30. November 1999</w:t>
      </w:r>
    </w:p>
    <w:p>
      <w:r>
        <w:t>ZH Verwaltungsgericht, 1999-11-30, DE</w:t>
      </w:r>
    </w:p>
    <w:p>
      <w:r>
        <w:rPr>
          <w:b/>
        </w:rPr>
        <w:t xml:space="preserve">Quelle: </w:t>
      </w:r>
      <w:r>
        <w:t>https://mcp.opencaselaw.ch/entscheid/zh_verwaltungsgericht__VB.2000.00198</w:t>
      </w:r>
    </w:p>
    <w:p>
      <w:r>
        <w:t>FR: ZH_VERWALTUNGSGERICHT VB.2000.00198 du 30 novembre 1999</w:t>
      </w:r>
    </w:p>
    <w:p>
      <w:r>
        <w:t>IT: ZH_VERWALTUNGSGERICHT VB.2000.00198 del 30 novembre 1999</w:t>
      </w:r>
    </w:p>
    <w:p>
      <w:pPr>
        <w:pStyle w:val="Heading2"/>
      </w:pPr>
      <w:r>
        <w:t>Regeste</w:t>
      </w:r>
    </w:p>
    <w:p>
      <w:r>
        <w:t>Aufenthaltsbewilligung | Abänderung einer Dauerverfügung Nachdem dem Beschwerdeführer die Verlängerung der Aufenthaltsbewilligung rechtskräftig verweigert worden war, stellte er ein Abänderungsgesuch wegen veränderter Verhältnisse. Weil sich die massgebenden Sachumstände nicht wesentlich geändert haben, ist die Fremdenpolizei darauf zu Recht nicht eingetreten. BGE-Nr. 2A.1/2001</w:t>
      </w:r>
    </w:p>
    <w:p>
      <w:pPr>
        <w:pStyle w:val="Heading2"/>
      </w:pPr>
      <w:r>
        <w:t>Erwägungen</w:t>
      </w:r>
    </w:p>
    <w:p>
      <w:r>
        <w:rPr>
          <w:b/>
        </w:rPr>
        <w:t>E. 2</w:t>
      </w:r>
    </w:p>
    <w:p>
      <w:r>
        <w:t>a) Unter Verweis auf die Literatur hat der Regierungsrat darauf hingewiesen, dass nachträglich eingetretene Tatsachen nur dann erheblich seien, wenn im Licht der veränderten tatsächlichen Grundlagen die rechtliche Würdigung anders hätte ausfallen müssen, als im früheren Entscheid. Dieses Kriterium ist allerdings mit dem Nachteil behaftet, dass dadurch ein materieller Entscheid vorwegzunehmen ist. b) Der Regierungsrat hat festgestellt, dass im vorliegenden Fall von einer massgeblich veränderten Sach- und Rechtslage nicht auszugehen sei. Der Beschwerdeführer habe bereits in seiner früheren Verwaltungsgerichtsbeschwerde darauf hingewiesen, dass die Einbürgerung seiner Ehefrau bevorstehe. Das Verwaltungsgericht habe diesen Sachverhalt in seinem Entscheid berücksichtigt. Von der Schwere des Verschuldens her und gemessen an der Tatsache, dass gemäss bundesgerichtlicher Praxis bei einer Freiheitsstrafe von zwei Jahren oder mehr auch bei mit schweizerischen Ehepartnern verheirateten niedergelassenen Ausländern nur in Ausnahmefällen von einer Ausweisung abzusehen sei, änderten die veränderten Familienverhältnisse bzw. die Nationalität der Ehefrau nichts am früheren Entscheid. Der fragliche Grenzwert sei, wäre ein Strafvollzug statt einer Erziehungsmassnahme angeordnet worden, durch den Beschwerdeführer um das zweieinhalbfache überschritten worden. Unter diesen Umständen könne die Geburt des Sohns ebenfalls nicht zu einer Erteilung der Aufenthaltsbewilligung führen, zumal dieser als Kleinkind anpassungsfähig sei. Im Übrigen hätten die Eheleute aufgrund der deliktischen Vergangenheit des Beschwerdeführers bei ihrer Heirat nicht damit rechnen können, ihre Ehe gemeinsam in der Schweiz leben zu können; dasselbe gelte, wenn sie trotz unsicheren Aufenthaltsperspektiven des Ehemanns ein Kind zeugten. c) Insoweit der Beschwerdeführer seine Bewährung nach Ablauf der Erziehungsmassnahme anführt, liegt kein neuer Sachverhalt vor, konnte sich doch schon das Bundesgericht mit dieser Behauptung auseinander setzen. Ebenso ist das der Fall für die damals in Aussicht stehende Einbürgerung der Ehefrau. Angesichts der massiv über dem Grenzwert liegenden Strafe wären die Voraussetzungen selbst für eine Ausweisung eines niedergelassenen Ausländers gegeben, wogegen es beim Beschwerdeführer (nur) um die Erteilung der Aufenthaltsbewilligung geht. Auch wenn sich der Massstab der abzuwägenden Kriterien verschoben hat, sind die öffentlichen Interessen an der Nichtverlängerung der Aufenthaltsbewilligung immer noch überwiegend. Dasselbe gilt für die durch die Geburt des Kinds veränderten Verhältnisse. Es kann diesbezüglich auf die zutreffenden Ausführungen des Regierungsrats verwiesen werden (§ 28 Abs. 1 in Verbindung mit § 70 VRG). Aus der Sicht des Kleinkinds ist ein Wohnortwechsel der Familie zumutbar. Würde die Wegweisung des Beschwerdeführers zu einer Trennung der Eltern führen, läge darin zwar eine gewisse Härte, die jedoch nicht unzumutbar wäre. Nach konstanter Praxis wird eine Trennung der Eltern bereits bei wesentlich niedrigerem Verschulden eines Ausländers als demjenigen des Beschwerdeführers als zumutbar erachtet. Im Übrigen haben die Eheleute sowohl bei ihrer Heirat als auch bei der Zeugung ihres Kinds um die Ungewissheit des zukünftigen Familienlebens wissen müssen. Wenn sie sich heute darauf berufen, grenzt dies an Rechtsmissbrauch. Sofern der Beschwerdeführer geltend macht, ein Wegzug in seine Heimat sei ihm aus politischen Gründen nicht zumutbar, hat er dies anlässlich des Vollzugs der Wegweisung geltend zu machen. Einen Rechtsanspruch auf Aufenthalt vermag er daraus nicht abzuleiten. d) Nach dem Gesagten ergibt sich, dass die veränderten Verhältnisse im vorliegenden Fall nicht zu einer Abänderung der rechtskräftigen Verfügung führen. Deshalb ist die Beschwerdegegnerin auch berechtigt gewesen, auf das Begehren des Beschwerdeführers nicht einzutreten. Obwohl sich die Kriterien ihres Nichteintretensentscheids nicht ohne weiteres aus der Begründung ergeben, war der Entscheid im Ergebnis richtig. Indem der Regierungsrat eine nahezu vollständige materielle Abwägung vorgenommen hat, hat er allfällige Mängel in der Begründung der Beschwerdegegnerin geheilt. Somit ist dem Beschwerdeführer kein Rechtsnachteil daraus erwachsen. Hinsichtlich der Rechtmässigkeit des Nichteintretensentscheids führt dies zur Abweisung der Beschwerde. Soweit andere Begehren gestellt worden sind, ist auf sie nicht einzutreten. Damit wäre auch der allfällige Mangel einer fehlenden Rechtsmittelbelehrung im Rekursentscheid des Regierungsrats geheilt.</w:t>
      </w:r>
    </w:p>
    <w:p>
      <w:r>
        <w:rPr>
          <w:b/>
        </w:rPr>
        <w:t>E. 3</w:t>
      </w:r>
    </w:p>
    <w:p>
      <w:r>
        <w:t>Das Begehren um eine vorsorgliche Massnahme ist mit dem vorliegenden Endentscheid gegenstandslos geworden.</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