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VB.2000.00117 vom 25. Januar 2001</w:t>
      </w:r>
    </w:p>
    <w:p>
      <w:r>
        <w:t>ZH Verwaltungsgericht, 2001-01-25, DE</w:t>
      </w:r>
    </w:p>
    <w:p>
      <w:r>
        <w:rPr>
          <w:b/>
        </w:rPr>
        <w:t xml:space="preserve">Quelle: </w:t>
      </w:r>
      <w:r>
        <w:t>https://mcp.opencaselaw.ch/entscheid/zh_verwaltungsgericht__VB.2000.00117</w:t>
      </w:r>
    </w:p>
    <w:p>
      <w:r>
        <w:t>FR: ZH_VERWALTUNGSGERICHT VB.2000.00117 du 25 janvier 2001</w:t>
      </w:r>
    </w:p>
    <w:p>
      <w:r>
        <w:t>IT: ZH_VERWALTUNGSGERICHT VB.2000.00117 del 25 gennaio 2001</w:t>
      </w:r>
    </w:p>
    <w:p>
      <w:pPr>
        <w:pStyle w:val="Heading2"/>
      </w:pPr>
      <w:r>
        <w:t>Regeste</w:t>
      </w:r>
    </w:p>
    <w:p>
      <w:r>
        <w:t>Lufthygienische Sanierung | Wiederherstellung des rechtmässigen Zustands eines Schlachthofs: - Zum Grenzwert für die Geruchsbelastung der Abluft (E. 3). - Zur Sanierungs- bzw. Wiederherstellungsfrist (E. 4). - Zu den Sanktionen für den Fall der Nichteinhaltung des festgelegten Grenzwerts (E. 5). - Künftige Anpassung des Grenzwerts (E. 6).</w:t>
      </w:r>
    </w:p>
    <w:p>
      <w:pPr>
        <w:pStyle w:val="Heading2"/>
      </w:pPr>
      <w:r>
        <w:t>Erwägungen</w:t>
      </w:r>
    </w:p>
    <w:p>
      <w:r>
        <w:rPr>
          <w:b/>
        </w:rPr>
        <w:t>E. 4</w:t>
      </w:r>
    </w:p>
    <w:p>
      <w:r>
        <w:t>Die Beschwerdeführerin wendet sich sodann gegen die von den Vor­in­stanzen an­gesetzte Frist für die Realisierung der Emissionsbegrenzung. Sie betrachtet die Fristanset­zung als Verkürzung der ordentlichen fünfjährigen Sanierungsfrist gemäss Art. 10 Abs. 1 LRV und macht geltend, dass die Voraussetzungen dafür nach Art. 10 Abs. 2 und 4 LRV nicht gegeben seien. a) Die ordentliche fünfjährige Sanierungsfrist hätte im vorliegenden Fall, wie die Vor­in­stanz zutreffend festhielt (E. 9c, des Rekursentscheids), mit der Zustellung der erst­maligen Sanierungsverfügung vom 17. Juni 1996 zu laufen begonnen. Soweit nach diesem Zeitpunkt neue geruchs­erzeugende Anlageteile in Betrieb genommen wurden, gelangen die Fristen des Sanierungsrechts von vornherein nicht zur Anwendung (vgl. nachstehend, E. b). Die Sanierungsfrist würde somit gegen Ende des Monats Juni 2001 ablaufen. In der angefochtenen Verfügung des Beschwerdegegners vom 26. Juli 1999 war der Beschwerdeführerin für die Einhaltung der festgelegten Abluftwerte eine Frist bis 30. No­vem­ber 1999 gesetzt worden. Die Vor­in­stanz hat diese Frist jedoch dahin gehend erstreckt, dass die Emissionsbegrenzung erst drei Monate nach Eintritt der Rechtskraft ihres Ent­scheids eingehalten werden muss. Diese Anordnung wurde vom Beschwerdegegner nicht angefochten. Da der Eintritt der Rechtskraft durch das vorliegende Beschwerdeverfahren weiter hinausgeschoben wird, besteht letztlich nur noch eine geringe Differenz zur ordent­lichen Sanierungsfrist nach Art. 10 Abs. 1 LRV. Die Vor­in­stanz hat sodann zu Recht darauf hingewiesen, dass sich die Beschwerde­führerin bereits im Rahmen der Vereinbarung vom 6. März 1997 (bestätigt mit Schreiben der Beschwerdeführerin vom 30. April 1997 und übernommen in die Wiedererwägungsver­fügung vom 30. Juli 1997) dazu verpflichtet und imstande erklärt hat, den strittigen Grenz­wert einzuhalten. Soweit die Frage der Sanierungsfrist damit nicht bereits rechtskräftig er­ledigt wurde, erscheint die Berufung der Beschwerdeführerin auf eine längere Sanie­rungs­frist unter diesen Umständen jedenfalls als rechtsmissbräuchlich. Hinzu kommt, dass der fragliche Grenzwert, wie aus dem von der Beschwerdefüh­rerin eingereichten Ent­scheid der Vor­in­stanz vom 20. Oktober 2000 in einem parallelen Verfahren hervorgeht (BRKE I Nr. 00227/2000; act. 14), inzwischen offenbar eingehalten werden konnte (Messungen vom Juni und August 2000). Die Frage der Sanierungsfrist ist damit für die Beschwerdeführerin nur noch mit Bezug auf die Frage einer allfälligen kurz­fristigen Überschreitung des Grenzwertes und der damit verbundenen Konsequenzen von Interesse. Diesbezüglich ist die Anordnung des Beschwerdegegners aber ohnehin konkreti­sierungsbedürftig (vgl. E. 3d). b) Im Übrigen ist fraglich, wieweit die strittige Anordnung vorsorglicher Emissi­onsbegrenzungen überhaupt als Sanierung zu werten ist. Die Regeln der Art. 16–18 USG über die Sanierung von Anlagen beziehen sich auf altrechtliche, beim Inkrafttreten des Ge­setzes bereits rechtskräftig bewilligte Anlagen. Das Sanierungsrecht ist Übergangsrecht für Tatbestände, die sich vor dem Inkrafttreten der in Frage stehenden Vorschriften verwirk­licht haben und auf die daher ein weniger strenger Massstab angewandt wird (vgl. André Schrade in: Kommentar zum USG, 1987, Vorbem. zu Art. 16–18 N. 1 ff., Art. 16 N. 16; Ulrich Zimmerli, Sanierungen nach dem Bundesgesetz über den Umweltschutz: Grund­lagen und Grundsätze, URP 1990, S. 243 ff., 246 f.; Wolf, Art. 25 N. 40). Selbst gegenüber altrechtlichen, vor dem Inkrafttreten des Gesetzes erstell­ten Anlagen kommt die mit der Anwendung des Sanierungsrechts verbundene Privilegie­rung nur insoweit zur Anwendung, als die nach Gesetz oder Verordnung unzulässigen Emissionen bereits beim Inkrafttreten der betreffenden Vorschriften verursacht wurden; mit Bezug auf später hinzugekommene neue Einwirkungen ist das Sanierungsrecht nicht anwendbar (vgl. zur analogen Rechtslage im Bereich des Lärm­schutz­es BGr, URP 1999, S. 264 E. 3a; BGE 123 II 325 E. 4c/aa). Bei der Änderung einer altrechtlichen Anlage gelten somit für zusätzlich erstellte Anlageteile oder neue, bisher nicht vorhandene Emissionen die Vorschriften über neue Anlagen. Dieser Rechtslage entspricht Art. 2 Abs. 4 lit. a LRV, wonach Anlagen, die um­gebaut, erweitert oder instand gestellt werden, als neue Anlagen behandelt werden, sofern von der Änderung höhere oder andere Emissionen zu erwarten sind. Unzulässige Emissio­nen, die durch neurechtliche, nach dem Inkrafttreten des USG erstellte Anlagen oder Anla­geteile verursacht werden, werden daher nicht nach den Vorschriften des Sanierungsrechts, sondern anhand der Grundsätze über die Wiederherstellung des rechtmässigen Zustands bei nicht rechtskonform erstellten Anlagen begrenzt (vgl. zum Lärm­schutz­recht Wolf, Art. 25 N. 44). Die vorliegend strittige Anlage wird von der Beschwerdeführerin bzw. ihrer Rechts­vorgängerin zwar seit Jahrzehnten am heutigen Standort betrieben. Verschiedene Anlage­teile, welche für die Geruchserzeugung von erheblicher Bedeutung sind, wurden jedoch erst nach dem Inkrafttreten des USG am 1. Januar 1985 erstellt. Nach der unbestrittenen Darstellung der Vor­in­stanz nahm die Beschwerdeführerin im Jahr 1992 eine Griebentrock­nungsanlage und 1998 Ohrentrocknungsöfen in Betrieb. Beide Anlageteile gehören zu den Hauptverursachern der heutigen Geruchsemissionen (vgl. das Schema der Abluftführung im zusammenfassenden Bericht der ETH Zürich vom 20. Januar 2000, S. 3; act. 9/25.1), und die Abluft dieser Prozesse war massgeblich an der Überschreitung der festgelegten Grenzwerte in den letzten Jahren beteiligt. Mit Bezug auf diese Abluftströme kommen da­her nicht die Grundsätze des Sanierungsrechts, sondern jene über die Wiederherstellung des rechtmässigen Zustands bei neurechtlichen Anlagen zur Anwendung. Wie es sich mit weiteren Anlageteilen verhält, kann offen bleiben, da die Frage hier einzig mit Bezug auf die Sanierungsfrist von Bedeutung ist; diese ist nach dem Gesagten auch bei der Anwen­dung von Sanierungsrecht nicht zu beanstanden. Stilllegung einzelner Prozesse</w:t>
      </w:r>
    </w:p>
    <w:p>
      <w:r>
        <w:rPr>
          <w:b/>
        </w:rPr>
        <w:t>E. 5</w:t>
      </w:r>
    </w:p>
    <w:p>
      <w:r>
        <w:t>Für den Fall, dass der festgelegte Grenzwert innert der gesetzten Frist nicht ein­gehalten werde, sah die angefochtene Verfügung des Beschwerdegegners vom 26. Juli 1999 in Dispositiv Ziff. 5 vor, dass die besonders geruchsbelasteten Prozesse stillzulegen seien. Sowohl die Parteien wie auch die Vor­in­stanz gehen davon aus, dass es sich bei die­ser Aussage um eine verbindliche Anordnung handelt, die im Fall einer Überschreitung der Grenzwerte lediglich noch zu vollstrecken wäre. a) Rechtsmittel an die Baurekurskommission und das Ver­wal­tungs­ge­richt können gegen "Anordnungen" bzw. "Entscheide" der jeweiligen Vor­in­stanzen erhoben werden (§§ 329 Abs. 2 und 338a Abs. 1 des Planungs- und Baugesetzes vom 7. September 1975; vgl. §§ 19 ff. und 41 ff. VRG). Es sind dies Verfügungen bzw. Verwaltungsakte, mit denen eine konkrete Rechtsbeziehung in verbindlicher und erzwingbarer Weise geregelt wird (Kölz/Boss­hart/Röhl, Vorbem. zu §§ 4–31 N. 11 ff; Kölz/Häner, Rz. 498). Um als Verfü­gung zu gelten, muss ein individueller Verwaltungsakt so weit konkretisiert sein, dass er unmittelbar vollstreckt werden kann (Kölz/Boss­hart/Röhl, Vorbem. zu §§ 4–31 N. 16). Gegen eine vorbehaltene, aber noch nicht angeordnete Massnahme kann kein Rechtsmittel erhoben werden (Kölz/Boss­hart/Röhl, § 48 N. 21). Diese Voraussetzungen eines ausreichend konkretisierten, vollstreckbaren Verwal­tungsakts sind in Dispositiv Ziff. 5 der Verfügung des Beschwerdegegners vom 26. Juli 1999 nicht erfüllt. Die Bestimmung legt nicht fest, welche Prozesse als besonders geruchs­belastet zu gelten haben und im Fall einer Überschreitung des Grenzwertes stillzulegen seien; die Verfügung verlangt vielmehr, dass die Beschwerdeführerin ein aktuelles Lüf­tungsschema des gesamten Produktionsbetriebs vorlegt (Dispositiv Ziff. 2), gestützt auf welches anschliessend in einer separaten Anordnung festgelegt werden soll, welche Pro­zesse als besonders geruchsbelastet einzustufen sind (Dispositiv Ziff. 4). Wie aus dem Lüftungsschema im zusammenfassenden Bericht der ETH Zürich vom 20. Januar 2000 (act. 9/25.1, S. 3) ersichtlich ist, stellt sich dabei auch die Frage, welche der untereinander verbundenen Prozesse, die den verschiedenen Abluft-Filtern vorgelagert sind, stillzulegen wären, falls nur bei einem einzelnen Abluftstrom eine Überschreitung des Grenzwerts auf­tritt. Des weiteren hat die Beschwerdeführerin zu Recht darauf hingewiesen, dass nicht geklärt ist, ob jede noch so geringfügige und kurzfristige Überschreitung des Grenzwertes zur Stilllegung der betreffenden Prozesse führen müsste. Auch diesbezüglich bedürfte die Anordnung des Beschwerdegegners einer Konkretisierung, bevor sie vollstreckt werden könnte. Dispositiv Ziff. 5 der angefochtenen Verfügung enthält somit keine Anordnung im Sinn eines konkreten, selbständig vollstreckbaren Verwaltungsakts. Als blosse Androhung ist die Bestimmung nicht anfechtbar, da das anwendbare Recht an eine Androhung dieser Art keine Rechtsfolgen knüpft. Gegen Dispositiv Ziff. 5 ist somit kein Rechtsmittel zuläs­sig. Soweit die Beschwerdeführerin die Aufhebung dieses Teils des Dispositivs verlangt, ist auf ihre Beschwerde nicht einzutreten. b) Im Hinblick auf die Weiterführung des Sanierungsverfahrens durch den Be­schwer­degegner erscheint eine vorläufige Klärung der angesprochenen Rechtsfragen den­noch am Platz. Dabei stellt sich insbesondere die Frage, ob die angedrohte Teilstilllegung gestützt auf Art. 16 Abs. 4 USG angeordnet werden kann, was die Beschwerdeführerin be­streitet. aa) Die Festlegung von Grenzwerten für die Geruchsbelastung der Abluftströme dient vorliegend der vorsorglichen Emissionsbegrenzung im Sinn von Art. 11 Abs. 2 USG, nicht der verschärften Begrenzung bei übermässigen Immissionen gemäss Art. 11 Abs. 3 USG (vorn, E. 3f). Ob sich die angedrohte Stilllegung von Anlageteilen unter diesen Um­ständen auf Art. 16 Abs. 4 USG stützen lässt, erscheint fraglich. Der Wortlaut der Vor­schrift enthält dazu keine Aussage; aufgrund ihrer Funktion ist sie jedoch auf die Beseiti­gung schwerwiegender Immissionen ausgerichtet, wobei in der Lehre sogar eine qualifi­zierte Über­mässigkeit vorausgesetzt wird (vgl. André Schrade in: Kommentar zum USG, 1987, Art. 16 N. 8 f., 48 ff.). Die Frage braucht indessen nicht weiter geprüft zu werden, denn die vorliegend an­gedrohte Stilllegung einzelner Produktionsprozesse stellt ohnehin keine vorläufige Mass­nahme für die Dauer der Sanierung dar, wie sie in den Art. 16 Abs. 4 USG und Art. 8 Abs. 2 bzw. Art. 9 Abs. 3 LRV geregelt wird. Nach der Zielsetzung der angefochtenen Verfügung handelt es sich vielmehr um eine Sanktion für den Fall der Nichteinhaltung der angeordneten vorsorglichen Emissionsbegrenzung. In welcher Weise die gestützt auf USG und LRV angeordneten Massnahmen gegenüber renitenten Anlageninhabern zu vollziehen sind, wird nicht durch das Bundesrecht geregelt. Nach Art. 36 USG obliegt der Vollzug des Umweltrechts den Kantonen; sie erlassen zu diesem Zweck nicht nur die notwendigen Ver­fügungen, sondern sorgen wo nötig auch für deren zwangsweise Durchsetzung nach den Regeln des Verwaltungsverfahrensrechts (vgl. Ursula Brunner in: Kommentar zum USG, 1998, Art. 36 N. 11b). Davon unabhängig gelangen gegebenenfalls die Straftatbestände des Umweltrechts zur Anwendung (vgl. Art. 61 Abs. 1 lit. a und b USG). Das Zürcher Recht regelt die Vollstreckung in den §§ 29–31 VRG und sieht als Mass­nahmen insbesondere die Ersatzvornahme auf Kosten des Pflichtigen und den unmit­telbaren Zwang gegen den Pflichtigen bzw. seine Sachen vor (§ 30 lit. b und c VRG). Der­artige Anordnungen können im Grundsatz sogar ohne besondere gesetzliche Grundlage ge­troffen werden (vgl. Ulrich Häfelin/Georg Müller, Grundriss des Allgemeinen Verwal­tungs­rechts, 3. A. Zürich 1998, Rz. 918, 939 f.; René A. Rhinow/Beat Krähenmann, Schweizerische Verwaltungsrechtsprechung, Ergänzungsband, Basel 1990, Nr. 49 B. III; Kölz/Bosshart/Röhl, § 30 VRG N. 8; Kölz/Häner, Rz. 389). Dabei muss es auch zulässig sein, einen Produktionsprozess stillzulegen, wenn die Durchsetzung einer verfügten Emis­sionsbegrenzung nicht mit weniger weit gehenden Mitteln erreicht werden kann (vgl. zur Problematik Max Imboden/René A. Rhinow, Schweizerische Verwaltungsrechtsprechung, Basel 1986, Bd. I, Nr. 49 B. V; Rhinow/Krähenmann, Nr. 49 B V; Häfelin/Müller, Rz. 937 ff.; Kölz/Bosshart/Röhl, § 30 VRG N. 28 ff.). bb) Wenn die verbleibenden Emissionen zu übermässigen Immissionen führen, d.h. eine Beeinträchtigung verursachen, die für die betroffenen Personen in der Umgebung der Anlage schädlich oder lästig ist (dazu vorn, E. 3g), kann die Stillegung von Produktions­prozessen auch unmittelbar gestützt auf das Bundesrecht verfügt werden. Die in diesem Fall zu treffenden Massnahmen der verschärften Emissionsbegrenzung (Art. 11 Abs. 3 USG) können als ultima ratio zur Schliessung der Anlage führen, sofern sich die übermäs­sigen Immissionen nicht auf andere Weise beseitigen lassen; die abschliessende Aufzäh­lung der zulässigen Massnahmen in Art. 12 Abs. 1 USG steht dem nicht entgegen (vgl. Schrade/Loretan in: Kommentar zum USG, 1998, Art. 11 N. 17a). Die Anordnung von Massnahmen der verschärften Emissionsbegrenzung hängt auch nicht davon ab, dass vor­gängig eine Vollstreckung vorsorglicher Begrenzungsmassnahmen nach kantonalem Ver­fahrensrecht angestrebt wurde. Die Behörde hat die Möglichkeit, verschärfte Emissionsbe­grenzungen von Anfang an zugleich mit Massnahmen der vorsorglichen Emissionsbegren­zung anzuordnen, sofern die materiellen Voraussetzungen der verschärften Begrenzung erfüllt sind (vgl. Schrade/Loretan in: Kommentar zum USG, 1998, Art. 11 N. 20 a.E.). Im Übrigen wurde der Beschwerdeführerin in den vergangenen Jahren reichlich Gelegenheit geboten, Massnahmen der vorsorglichen Emissionsbegrenzung durchzuführen; falls es ihr trotz der von ihr wiederholt zugesicherten Bemühungen nicht gelingt, die angeordnete Be­grenzung einzuhalten, muss davon ausgegangen werden, dass sie dazu nicht willens oder nicht in der Lage ist. Künftige Anpassungen des Grenzwertes</w:t>
      </w:r>
    </w:p>
    <w:p>
      <w:r>
        <w:rPr>
          <w:b/>
        </w:rPr>
        <w:t>E. 6</w:t>
      </w:r>
    </w:p>
    <w:p>
      <w:r>
        <w:t>Mit Dispositiv Ziff. 9 der angefochtenen Verfügung des Beschwerdegegners vom 26. Juli 1999 wurde der Beschwerdeführerin zur Kenntnis gebracht, dass das Amt für Ge­sundheit und Umwelt zur Herstellung des gesetzlichen Zustands die Emissionsbegrenzun­gen anpassen und zusätzliche Massnahmen anordnen könne. Im Rekursverfahren hatte die Beschwerdeführerin die Aufhebung dieser Ziffer beantragt; wieweit sie im Beschwerdever­fahren an diesem Antrag festhält, ist nicht deutlich. Dispositiv Ziff. 9 der angefochtenen Verfügung stellt indessen – ebenso wie Dispo­sitiv Ziff. 5 (dazu vorn, E. 5a) – keine konkrete, vollstreckbare Anordnung dar. Wie bereits die Vor­in­stanz festgestellt hat, gibt die Bestimmung lediglich wieder, was schon von Ge­setzes wegen gilt, und auferlegt der Beschwerdeführerin keine Pflichten. Dispositiv Ziff. 9 kann daher nicht mit Rechtsmitteln angefochten werden.</w:t>
      </w:r>
    </w:p>
    <w:p>
      <w:r>
        <w:rPr>
          <w:b/>
        </w:rPr>
        <w:t>E. 7</w:t>
      </w:r>
    </w:p>
    <w:p>
      <w:r>
        <w:t>Zusammengefasst erweist sich damit die angeordnete Emissionsbegrenzung mit­tels Grenzwerten für die Geruchsbelastung der Abluftströme als rechtmässig. Eine Stillle­gung einzelner Produktionsprozesse kann jedoch nicht als blosse Vollzugsmassnahme auf die angefochtene Verfügung gestützt werden. Die Emissionsbegrenzung bedarf zunächst einer Präzisierung mit Bezug auf die Einhaltung der Grenzwerte in zeitlicher Hinsicht so­wie bezüglich der angedrohten Stillegung einzelner Produktionsprozesse. Für den Fall ei­ner Missachtung derart konkretisierter Massnahmen stehen dem Beschwerdegegner die Vollzugsmittel des Verwaltungsverfahrensrechts zur Verfügung. Resultieren in der Umge­bung der Anlage übermäs­sige Immissionen, kann der Beschwerdegegner ferner von An­fang an auch verschärfte Massnahmen anordnen, welche nötigenfalls zu einer Stilllegung von Produktionsprozessen oder der gesamten Anlage führen können.</w:t>
      </w:r>
    </w:p>
    <w:p>
      <w:r>
        <w:rPr>
          <w:b/>
        </w:rPr>
        <w:t>E. 8</w:t>
      </w:r>
    </w:p>
    <w:p>
      <w:r>
        <w:t>...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