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VB.2000.00096 vom 22. Juni 2000</w:t>
      </w:r>
    </w:p>
    <w:p>
      <w:r>
        <w:t>ZH Verwaltungsgericht, 2000-06-22, DE</w:t>
      </w:r>
    </w:p>
    <w:p>
      <w:r>
        <w:rPr>
          <w:b/>
        </w:rPr>
        <w:t xml:space="preserve">Quelle: </w:t>
      </w:r>
      <w:r>
        <w:t>https://mcp.opencaselaw.ch/entscheid/zh_verwaltungsgericht__VB.2000.00096</w:t>
      </w:r>
    </w:p>
    <w:p>
      <w:r>
        <w:t>FR: ZH_VERWALTUNGSGERICHT VB.2000.00096 du 22 juin 2000</w:t>
      </w:r>
    </w:p>
    <w:p>
      <w:r>
        <w:t>IT: ZH_VERWALTUNGSGERICHT VB.2000.00096 del 22 giugno 2000</w:t>
      </w:r>
    </w:p>
    <w:p>
      <w:pPr>
        <w:pStyle w:val="Heading2"/>
      </w:pPr>
      <w:r>
        <w:t>Regeste</w:t>
      </w:r>
    </w:p>
    <w:p>
      <w:r>
        <w:t>Nutzungsplanung | Nichtgenehmigung der Neueinzonung von Grundstücken in die Kernzone: Kognition des Verwaltungsgerichts in Raumplanungsfragen (E. 2). Die Neueinzonung dient allein den wirtschaftlichen Interessen des Beschwerdeführers (Betriebserweiterung). Sie widerspricht den richtplanerischen Festlegungen, die das Ziel der Siedlungskonzentration mitumfassen, und trägt dem Landschaftsschutz nicht Rechnung (E. 4). Auch eine eventualiter beantragte Teilgenehmigung einer flächenmässig kleineren Neueinzonung kommt nicht in Frage, da die gesamte Neueinzonung als einheitliche Anordnung zu betrachten ist (E. 5).</w:t>
      </w:r>
    </w:p>
    <w:p>
      <w:pPr>
        <w:pStyle w:val="Heading2"/>
      </w:pPr>
      <w:r>
        <w:t>Erwägungen</w:t>
      </w:r>
    </w:p>
    <w:p>
      <w:r>
        <w:rPr>
          <w:b/>
        </w:rPr>
        <w:t>E. 4</w:t>
      </w:r>
    </w:p>
    <w:p>
      <w:r>
        <w:t>Die im kantonalen Richtplan enthaltenen Grundsätze für die Einzonung von Kleinsiedlungen und deren Begrenzungen wurden im angefochtenen Regierungsratsbe­schluss zutreffend dargelegt. Darauf kann verwiesen werden (§ 70 VRG in Verbindung mit § 28 Abs. 1 VRG). Der Beschwerdeführer hält dem angefochtenen Beschluss einzig entgegen, dass er auf eine bauliche Erweiterung seines Betriebes dringend angewiesen sei. Damit verkennt er offensichtlich, dass der kantonale Richtplan mit den dargelegten Grundsätzen die Gemein­den in dem ihnen bei der Nutzungsplanung zustehenden Anordnungsspielraum erheblich einschränkt. Die dem Ziel der Siedlungskonzentration verpflichteten Vorgaben des Richt­planes ermöglichen es einer Gemeinde nur in ganz beschränktem Masse, private Eigentü­merinteressen bei der Grenzziehung einer Weilerzone zu berücksichtigen. Mit der vorlie­gend strittigen Zonenerweiterung würde - gemessen an der bestehenden Kernzone - eine massgebliche bauliche Entwicklung im Norden des Weilers Y ermöglicht und damit die heute dem Holzbaubetrieb des Beschwerdeführers zustehende Bauzonenfläche weit mehr als verdoppelt. Dies widerspräche offensichtlich dem kantonalen Richtplan. Im Weiteren weist der angefochtene Entscheid zu Recht auf den Widerspruch zu den wichtigen Anliegen des Landschaftsschutzes hin, welche sich hier in der Zugehörigkeit der fraglichen Grundstücke zur Drumlinlandschaft Zürcher Oberland und der entsprechen­den Schutzverfügung der Baudirektion verdeutlichen. Auch diesen Ausfüh­rungen, auf welche verwiesen werden kann, vermag der Beschwerdeführer nichts entge­genzusetzen.</w:t>
      </w:r>
    </w:p>
    <w:p>
      <w:r>
        <w:rPr>
          <w:b/>
        </w:rPr>
        <w:t>E. 5</w:t>
      </w:r>
    </w:p>
    <w:p>
      <w:r>
        <w:t>Im Eventualantrag verlangt der Beschwerdeführer wie auch die Gemeinde X in ihrer Vernehmlassung, es sei wenigstens die auf dem Grundstück Kat.-Nr. 1 vorgenom­mene Zonenerweiterung zu genehmigen. Gegenstand der Genehmigung durch den Regierungsrat bzw. die Baudirektion bil­det gemäss Art. 26 Abs. 1 RPG in Verbindung mit § 89 und § 2 lit. a des Planungs- und Baugesetzes vom 7. September 1975 (PBG) die Bau- und Zonenordnung der Gemeinde. Erachtet die Regierung einzelne Teile der kommunalen Nutzungsplanung als nicht geneh­migungsfähig, so nimmt sie diese Teile regelmässig von der Genehmigung aus und ge­nehmigt den Rest, was letztlich einer Teilgenehmigung gleichkommt. Ob und inwieweit Teilgenehmigungen angezeigt und statthaft sind, entscheidet sich danach, ob die einzelnen Festlegungen der Nutzungsplanung eine in sich geschlossene Einheit bilden oder ob sie derart voneinander losgelöst sind, dass die Gemeinde die genehmigungsfähigen Teile ohne Zweifel auch ohne die nicht genehmigungsfähigen Teile festgelegt hätte. Richtschnur hat dabei der mutmassliche Wille des Planungsträgers zu bilden (vgl. BGE 112 Ia 65 E. 5 S. 73). Im Zweifelsfall ist auf eine Teilgenehmigung eher zu verzichten bzw. diese im Um­fang so zu beschränken, dass der infolge der Nichtgenehmigung wieder eröffnete Pla­nungsspielraum der Gemeinde weitmöglichst erhalten bleibt (vgl. zu dieser Problematik RB 1996 Nr. 17). Auch wenn es im vorliegenden Fall offensichtlich die Absicht der Gemeindever­sammlung war, bei der Kernzonengrenzziehung den betrieblichen Bedürfnissen des Be­schwerdeführers entgegenzukommen, muss die strittige Zonenerweiterung im Weiler Y grundsätzlich als eine in sich einheitliche Anordnung betrachtet werden. Daher verbietet sich bereits eine Teilgenehmigung bezogen auf eine kleinere und damit andere Zonener­weiterung als die beschlossene. Hätte der Regierungsrat nur die auf dem Grund­stück Kat.-Nr. 1 erfolgte Zonenerweiterung genehmigt, so zöge er damit letztlich die neue Zonen­grenze anstelle der zuständigen Gemeindeversammlung. Verweigert er jedoch die Geneh­migung für die gesamte Zonenerweiterung, so überlässt er es der Gemeinde, sich im Rah­men einer neuen Vorlage zur Frage zu äussern, ob und inwieweit der Weilerzone Y nun­mehr aufgrund der neuen Lage erweitert werden soll. Das ist nicht zu be­anstanden. Die Beschwerde ist demgemäss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