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VB.2000.00086 vom 10. Mai 2000</w:t>
      </w:r>
    </w:p>
    <w:p>
      <w:r>
        <w:t>ZH Verwaltungsgericht, 2000-05-10, DE</w:t>
      </w:r>
    </w:p>
    <w:p>
      <w:r>
        <w:rPr>
          <w:b/>
        </w:rPr>
        <w:t xml:space="preserve">Quelle: </w:t>
      </w:r>
      <w:r>
        <w:t>https://mcp.opencaselaw.ch/entscheid/zh_verwaltungsgericht__VB.2000.00086</w:t>
      </w:r>
    </w:p>
    <w:p>
      <w:r>
        <w:t>FR: ZH_VERWALTUNGSGERICHT VB.2000.00086 du 10 mai 2000</w:t>
      </w:r>
    </w:p>
    <w:p>
      <w:r>
        <w:t>IT: ZH_VERWALTUNGSGERICHT VB.2000.00086 del 10 maggio 2000</w:t>
      </w:r>
    </w:p>
    <w:p>
      <w:pPr>
        <w:pStyle w:val="Heading2"/>
      </w:pPr>
      <w:r>
        <w:t>Regeste</w:t>
      </w:r>
    </w:p>
    <w:p>
      <w:r>
        <w:t>Baubewilligung | Mangelhafte Baugesuchsunterlagen und ungenaue Aussteckung. Fehler des Baubewilligungsverfahrens können vom Nachbarn dann gerügt werden, wenn sie sich auf dessen Rechts- bzw. Interessenwahrung nachteilig auswirken. Hat die Fehlerhaftigkeit die materielle Rechtswidrigkeit des Bauvorhabens zur Folge oder können dadurch Verstösse gegen öffentlichrechtliche Bauvorschriften entstehen, ist ein Rechtsschutzinteresse des Nachbarn gegeben (E. 2c). Dachaufbauten: Stellt ein Mehrfamilienhaus eine baulich-architektonische Einheit dar, ist als massgebliche Fassadenlänge im Sinn von § 292 PBG die Gesamtfassadenlänge zu betrachten (E. 3b). Die Spruchgebühr des Baurekursverfahrens richtet sich nach dem Zeitaufwand sowie der finanziellen und rechtlichen Tragweite des Falls. Bei deren Festsetzung verfügt die Baurekurskommission über einen weiten Ermessensspielraum (E. 4a). Voraussetzungen und Bemessung von Parteientschädigungen (E. 5).</w:t>
      </w:r>
    </w:p>
    <w:p>
      <w:pPr>
        <w:pStyle w:val="Heading2"/>
      </w:pPr>
      <w:r>
        <w:t>Erwägungen</w:t>
      </w:r>
    </w:p>
    <w:p>
      <w:r>
        <w:rPr>
          <w:b/>
        </w:rPr>
        <w:t>E. 1</w:t>
      </w:r>
    </w:p>
    <w:p>
      <w:r>
        <w:t>Abteilung/1. Kammer Weiterzug: Dieser Entscheid ist rechtskräftig. Rechtsgebiet: Raumplanungs-, Bau- und Umweltrecht Betreff: Baubewilligung Mangelhafte Baugesuchsunterlagen und ungenaue Aussteckung. Fehler des Baubewilligungsverfahrens können vom Nachbarn dann gerügt werden, wenn sie sich auf dessen Rechts- bzw. Interessenwahrung nachteilig auswirken. Hat die Fehlerhaftigkeit die materielle Rechtswidrigkeit des Bauvorhabens zur Folge oder können dadurch Verstösse gegen öffentlichrechtliche Bauvorschriften entstehen, ist ein Rechtsschutzinteresse des Nachbarn gegeben (E. 2c). Dachaufbauten: Stellt ein Mehrfamilienhaus eine baulich-architektonische Einheit dar, ist als massgebliche Fassadenlänge im Sinn von § 292 PBG die Gesamtfassadenlänge zu betrachten (E. 3b). Die Spruchgebühr des Baurekursverfahrens richtet sich nach dem Zeitaufwand sowie der finanziellen und rechtlichen Tragweite des Falls. Bei deren Festsetzung verfügt die Baurekurskommission über einen weiten Ermessensspielraum (E. 4a). Voraussetzungen und Bemessung von Parteientschädigungen (E. 5). Stichworte: AUSNÜTZUNGSBERECHNUNG AUSSTECKUNG BAUBEWILLIGUNG UND BAUBEWILLIGUNGSVERFAHREN BAUBEWILLIGUNGSVERFAHREN FEHLERHAFT KOSTEN UND ENTSCHÄDIGUNGEN KOSTENAUFLAGE LEGITIMATION LUKARNE PARTEIENTSCHÄDIGUNG SPRUCHGEBÜHR Rechtsnormen: § 34 OV BRK § 35 OV BRK § 292 PBG § 321 Abs. I PBG § 13 VRG § 17 Abs. II VRG § 20 lit. I VRG § 50 lit. II d VRG Publikationen: BEZ 2000 Nr. 39 RB 2000 Nr. 7 Gewichtung: (1 von hoher / 5 von geringer Bedeutung) Gewichtung: 4 I. A. Die Baukommission C. erteilte Herrn und Frau F. am 6. April 1999 die bau­rechtliche Bewilligung für den Neubau eines Mehrfamilienhauses mit einer Unterniveau­garage für zwölf Fahrzeuge sowie vier offenen Besucherabstellplätzen auf dem Grundstück Kat.Nr. ... an der L.-Strasse in C. Hiergegen erhob A. B. mit Eingabe vom 12. Mai 1999 Rekurs an die Bau­rekurs­kom­mission II und beantragte zur Hauptsache die Aufhebung der Baubewilli­gung. B. Mit Beschluss vom 1. Juni 1999 hob die Baukommission C. ihren Be­schluss vom 6. April 1999 auf und erteilte erneut die baurechtliche Bewilligung für das geplante Mehrfamilienhaus auf dem Grundstück Kat.Nr. ... an der L.-Strasse. Die Baukommis­sion hielt hierzu fest, ihr Beschluss vom 6. April 1999 sei in unrichtiger Besetzung ergan­gen, weshalb er aufgehoben und die Baubewilligung neu erteilt werde. Auch gegen diesen Beschluss liess A. B. am 14. Juli 1999 Rekurs an die Baurekurs­kommission II erheben und die Aufhebung des angefochtenen Beschlusses "im angefoch­te­nen Umfang" beantragen. II. Die Baurekurskommission II fällte ihren Entscheid am 25. Januar 2000. Sie ver­einigte die beiden Rekursverfahren (Dispositiv Ziff. I), schrieb den Rekurs vom 12. Mai 1999 als durch Aufhebung des angefochtenen Beschlusses gegenstandslos geworden ab (Dispositiv Ziff. II Abs. 1), wies den Rekurs vom 14. Juli 1999 ab, soweit sie darauf ein­trat, und bestätigte den Beschluss der Baukommission C. vom 1. Juni 1999 (Dispo­sitiv Ziff. II Abs. 2 und 3). Die Kosten des Verfahrens von total Fr. 4'668.‑ auferlegte sie zu 11/12 dem Rekurrenten und zu 1/12 der Gemeinde C. (Dispositiv Ziff. III). Im wei­te­ren verpflichtete die Rekurskommission die Gemeinde C., A. B. eine Um­triebsentschädigung von Fr. 300.‑ zu bezahlen (Dispositiv Ziff. IV Abs. 1) und sprach Herrn und Frau F. eine Umtriebsentschädigung von je Fr. 750.‑, zahl­bar durch den Rekurrenten, zu (Dispositiv Ziff. IV Abs. 2). III. Mit Beschwerde vom 29. Februar 2000 beantragte A. B. dem Ver­waltungsge­richt: "1.   In Gutheissung der Beschwerde sei der angefochtene Entscheid vom 25. Januar 2000 im angefochtenen Umfang aufzuheben. 2.   Dispositiv-Ziffer III des angefochtenen Entscheides sei dahingehend abzuändern, dass die Verfahrenskosten des Rekursverfahrens erheb­lich herabgesetzt und dem Beschwerdeführer höchstens zu einem Drittel auferlegt werden. 3.   Dispositiv-Ziffer IV des angefochtenen Entscheides sei dahingehend abzuändern, dass den privaten Rekursgegnern für das Rekursverfahren keine Prozessentschädigung zu Lasten des Beschwerdeführers zuge­sprochen werde, eventuell aber dahingehend, dass dem Beschwerdeführer für das Re­kursverfahren zu Lasten der Gemeinde C. eine mindestens gleich hohe Prozessentschädigung zugesprochen werde wie den pri­vaten Rekurs­geg­nern zu Lasten des Beschwerdeführers.</w:t>
      </w:r>
    </w:p>
    <w:p>
      <w:r>
        <w:rPr>
          <w:b/>
        </w:rPr>
        <w:t>E. 4</w:t>
      </w:r>
    </w:p>
    <w:p>
      <w:r>
        <w:t>Zusammengefasst ergibt sich, dass die Baurekurskommission den Rekurs vom 14. Juli 1999 zu Recht abwies, soweit sie darauf eintrat. Bezüglich jenes Rechtsmittelver­fahrens durfte die Baurekurskommission entsprechend § 13 Abs. 1 und 2 VRG dem unter­liegenden Rekurrenten und heutigen Beschwerdeführer die Verfahrenskosten auferlegen. Dabei durfte die Vorinstanz unberücksichtigt lassen, dass sie dem Einwand der privaten Re­kursgegner, der Rekurs sei verspätet, nicht stattgab. Unbestrittenermassen waren die Ver­fahrenskosten für das durch Aufhebung der angefochtenen (ersten) Baubewilligung vom 6. April 1999 gegenstandslos gewordene und abgeschriebene Rekursverfahren der Gemeinde C. aufzuerlegen, welche die Gegenstandslosigkeit zu vertreten hatte. a) Die Gebühren der Baurekurskommissionen werden in §§ 34 ff. der Verordnung (des Regierungsrats) über die Organisation und den Geschäftsgang der Baurekurskommis­sionen vom 20. Juli 1977 (mit seitherigen Änderungen; OV BRK) geregelt. Gemäss § 34 dieser Verordnung gehören zu den Verfahrenskosten die Spruchgebühr einerseits und die Schreibgebühren, Barauslagen und Zustellungskosten anderseits. Die Spruchgebühr beträgt je nach dem Zeitaufwand sowie der finanziellen und rechtlichen Tragweite, die dem Ent­scheid im Einzelfall zukommt, Fr. 100.‑ bis Fr. 12'000.‑ (§ 35 Abs. 1 OV BRK); in beson­ders aufwändigen Verfahren kann die Gebühr unter Angabe der Gründe bis auf das Dop­pelte erhöht werden (Abs. 2). Die Gebührenhöhe ist aufgrund der genannten Kriterien von der Baurekurskommission nach pflichtgemässem Ermessen zu bestimmen. Weiter zu be­rücksichtigen sind der Aufwand durch Verhandlungen, der Umfang der Akten und eines Beweisverfahrens, die Klarheit der Rechtslage sowie die finanzielle Leistungskraft des Pflichtigen (Alfred Kölz/Jürg Bosshart/Martin Röhl, Kommentar zum Verwaltungsrechts­pflegegesetz des Kantons Zürich, 2. A., Zürich 1999, § 13 N. 8). Insgesamt verfügen die Behörden bei der Gebührenbemessung über einen weiten Ermessensspielraum. Das Ver­waltungsgericht kann die Kostenauflage und Kostenverlegung nach § 50 Abs. 2 lit. c VRG nur auf rechtsverletzende Fehler hin überprüfen (Kölz/Bosshart/Röhl, § 13 N. 37). b) Im Streit steht ein Mehrfamilienhaus mit zwei 5 ½ - 6‑Zimmerwohnungen im Untergeschoss/Erdgeschoss, einer 6‑Zimmerwohnung im Obergeschoss sowie einer 4 ½-Zimmerwohnung im Dachgeschoss samt Unterniveaugarage. Neben den bereits behandel­ten Rügen waren vor Vorinstanz auch die Einordnung gemäss § 238 Abs. 1 PBG, die An­wendung von § 292 PBG auf den Liftaufbau bzw. auf die Kamine sowie die Anwendung des Koordinationsgebots gemäss Art. 25a des Raumplanungsgesetzes vom 22. Juni 1979/6. Oktober 1995 streitig. Weiter hatte der heutige Beschwerdeführer gegen verschie­dene Mitglieder der Baurekurskommission II einen Ablehnungsantrag gestellt, diesen spä­ter indessen wieder zurückgezogen. Von einem "simplen und routinemässigen Fall" kann damit keine Rede sein. Wenn die Rekurskommission die Spruchgebühr auf Fr. 4'000.‑ fest­setzte, hat sie der Bedeutung des im Streit stehenden Bauvorhabens sowie den streiti­gen Sachverhalts‑ und Rechtsfragen korrekt Rechnung getragen und das ihr zustehende Ermes­sen bei der Festsetzung der Gebühr nicht überschritten. Der Kostenspruch der Baurekurskommission ist aber auch insofern rechtmässig, als er die Verfahrenskosten zu 1/12 der Gemeinde C. für die Abschreibung des gegen­standslos gewordenen ‑ ersten ‑ Rekursverfahrens und im Übrigen, d.h. zu 11/12 dem heu­ti­gen un­ter­liegenden Beschwerdeführer für die Rechtsmittelabweisung im zweiten Re­kurs­verfahren auferlegt. Auf das erste Rekursverfahren entfallen so Fr. 333.‑ Spruchgebüh­ren, was bei der formellen Erledigung dieses Verfahrens ohne Durchführung eines Schrif­ten­wechsels und ohne weitere Sachverhaltsermittlungen als angemessen erscheint. Die Spruch­gebühr von Fr. 3'666.‑ für die materielle Behandlung des zweiten, abgewiesenen Rekurses ist ‑ wie be­reits erwähnt ‑ auf jeden Fall nicht rechtsverletzend. Die vom Be­schwerdeführer beantragte Verteilung zu 2/3 auf das abgeschriebene Verfahren und zu 1/3 auf das materiell behan­del­te Rekursverfahren würde den genannten Kriterien (Zeitaufwand sowie finanzielle und rechtliche Tragweite) in keiner Art und Weise entsprechen.</w:t>
      </w:r>
    </w:p>
    <w:p>
      <w:r>
        <w:rPr>
          <w:b/>
        </w:rPr>
        <w:t>E. 5</w:t>
      </w:r>
    </w:p>
    <w:p>
      <w:r>
        <w:t>a) Die Baurekurskommission hat den Beschwerdeführer in Anwendung von § 17 Abs. 2 lit. a VRG zu einer Parteientschädigung von Fr. 1'500.‑ an die Bauherrschaft ver­pflichtet. Nach dieser Bestimmung kann im Rekursverfahren die unterliegende Partei oder Amtsstelle zu einer angemessenen Entschädigung für die Umtriebe ihres Gegners ver­pflich­tet werden, namentlich dann, wenn die rechtsgenügende Darlegung komplizierter Sachverhalte und schwieriger Rechtsfragen besonderen Aufwand erforderte oder den Bei­zug eines Rechtsbeistands rechtfertigte. Angesichts der im Rekursverfahren in formeller und materieller Hinsicht erhobenen Rügen war der Beizug eines Rechtsbeistands durch die Bauherrschaft offensichtlich gerechtfertigt. Der Beschwerdeführer begründet denn auch nicht näher, weshalb die Rekurskommission § 17 Abs. 2 lit. a VRG falsch angewendet ha­ben sollte. § 17 Abs. 2 VRG sieht lediglich eine "angemessene" Entschädigung der Umtriebe vor. Das bedeutet, dass dem Berechtigten nicht jeder erdenkliche, sondern grundsätzlich nur ein Teil des aufgrund der Umstände des Falls notwendigen Rechtsverfolgungsauf­wands nach freiem (aber pflichtgemässem) Ermessen der Rechtsmittelinstanz zu entschä­digen ist (RB 1998 Nr. 8 = ZBl 99/1998, S. 524). Dabei sind namentlich der Streitwert, allenfalls die Wichtigkeit der Sache für die Parteien, die Schwierigkeit des Falls sowie der Zeit‑ und Arbeitsaufwand zu berücksichtigen. b) Bei der Festsetzung der Höhe der Parteientschädigung von Fr. 1'500.‑ an die Bau­herrschaft hat die Vorinstanz ihr pflichtgemäs­ses Ermessen korrekt gehandhabt. Hin­sichtlich der an den Beschwerdeführer durch die Gemeinde C. zu entrichtenden Ent­schä­digung hat die Rekurskommission festgehalten, "in Anbetracht des Umstands, dass der diesbezüglich erwachsene Aufwand im überwiegenden Ausmass wiederum der Erhebung des Rekurses im Verfahren G.‑Nr. R2.99.00136 diente", erscheine ein Betrag von Fr. 300.‑ als angemessen. Tatsächlich sind die Rekursschriften vom 12. Mai und 14. Juli 1999 im for­mellen Teil fast vollkommen und im materiellen Teil vollständig identisch. Der zusätz­liche Aufwand, welcher dem Beschwerdeführer ‑ gesamthaft gesehen ‑ dadurch entstanden ist, dass er zwei Rekursschriften einreichen musste, ist daher minim. Der für die Einrei­chung des Rekurses vom 12. Mai 1999 erbrachte Aufwand konnte praktisch vollumfäng­lich für die Einreichung des Rekurses vom 14. Juli 1999 verwendet werden. Unter diesen Umständen erweist sich die Zusprechung einer Parteientschädigung von Fr. 300.‑ für das gegenstandslos gewordene Rekursverfahren nicht als rechtsverletzend.</w:t>
      </w:r>
    </w:p>
    <w:p>
      <w:r>
        <w:rPr>
          <w:b/>
        </w:rPr>
        <w:t>E. 6</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