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VB.2000.00071 vom 9. Juni 2000</w:t>
      </w:r>
    </w:p>
    <w:p>
      <w:r>
        <w:t>ZH Verwaltungsgericht, 2000-06-09, DE</w:t>
      </w:r>
    </w:p>
    <w:p>
      <w:r>
        <w:rPr>
          <w:b/>
        </w:rPr>
        <w:t xml:space="preserve">Quelle: </w:t>
      </w:r>
      <w:r>
        <w:t>https://mcp.opencaselaw.ch/entscheid/zh_verwaltungsgericht__VB.2000.00071</w:t>
      </w:r>
    </w:p>
    <w:p>
      <w:r>
        <w:t>FR: ZH_VERWALTUNGSGERICHT VB.2000.00071 du 9 juin 2000</w:t>
      </w:r>
    </w:p>
    <w:p>
      <w:r>
        <w:t>IT: ZH_VERWALTUNGSGERICHT VB.2000.00071 del 9 giugno 2000</w:t>
      </w:r>
    </w:p>
    <w:p>
      <w:pPr>
        <w:pStyle w:val="Heading2"/>
      </w:pPr>
      <w:r>
        <w:t>Regeste</w:t>
      </w:r>
    </w:p>
    <w:p>
      <w:r>
        <w:t>bedingte Entlassung aus dem Strafvollzug | Bedingte Entlassung nach Verbüssung von mehr als 2/3 der Strafe. Voraussetzungen der bedingten Entlassung (E. 4). Die vorgängige Anordnung einer stufenweisen Vollzugslockerung widerspricht Art. 38 StGB nicht (E. 5 b) und ist in casu insbesondere aufgrund der Vorbehalte gegen eine günstige Prognose angezeigt (E. 5d-i).</w:t>
      </w:r>
    </w:p>
    <w:p>
      <w:pPr>
        <w:pStyle w:val="Heading2"/>
      </w:pPr>
      <w:r>
        <w:t>Erwägungen</w:t>
      </w:r>
    </w:p>
    <w:p>
      <w:r>
        <w:rPr>
          <w:b/>
        </w:rPr>
        <w:t>E. 4</w:t>
      </w:r>
    </w:p>
    <w:p>
      <w:r>
        <w:t>Die bedingte Entlassung bildet gemäss Art. 38 Ziff. 1 Abs. 1 StGB die Regel, von welcher sich nur aus guten Gründen abweichen lässt. Die Beurteilung künftigen Wohl­verhaltens verlangt eine Ge­samt­würdigung von Vorleben, Persönlichkeit sowie delikti­schem und sonstigem Verhalten des Täters. In diesem Zusammenhang interessieren vor allem auch dessen neuere Einstel­lung, der Reifegrad einer allfälligen Besserung und die nach der Entlassung zu erwartenden Lebensverhältnisse. Es genügt, dass das Verhalten des Verurteilten während des Strafvoll­zugs nicht gegen die vorzeitige Entlassung streitet. Die Umstände der Straftaten verdienen bloss insoweit Beachtung, als sie Rückschlüsse auf die Täterpersönlichkeit und damit auf das künftige Verhalten erlauben. Auch rechtfertigt es sich, im Rahmen der Prognose der Art des möglicherweise weiterhin gefährdeten Rechts­guts Rechnung zu tragen. Unter dem Aspekt der Bewährungsaussichten genügt für die Ver­weigerung der bedingten Entlassung nicht jede noch so entfernte Gefahr neuer Delikte; eben­so wenig darf aber gestützt auf ein­zelne günstige Faktoren die bedingte Entlassung be­willigt werden, obwohl gewichtige An­haltspunkte für die Gefahr neuer Rechtsbrüche be­ste­hen (BGE 124 IV 193 mit zahlreichen Hinweisen, auch zum folgenden Absatz). Beim Entscheid für oder wider eine bedingte Entlassung gilt es im Sinn einer um­fassenden risikoorientierten Sicht, die Vorzüge und Nachteile der Vollverbüssung einer Strafe denjenigen der Aussetzung eines Strafrests gegenüberzustellen. Zumeist muss man annehmen, dass sich am Zustand des Täters nach zwei Dritteln der Strafverbüssung wäh­rend des restlichen Drittels im Vollzug nicht mehr allzu viel ändern werde. Der vagen Hoff­nung eines Fortfalls der Gefährlichkeit in dieser Zeit aus unsichtbaren Gründen steht mindestens gleichrangig die Verschärfung der Gefahr durch die Situation des Vollzugs und die Fernhaltung des Täters vom Leben in Freiheit gegenüber. Die weitere Verbüssung der Strafe taugt alsdann nicht zur Vermeidung etwaiger Straftaten. Sie gewährleistet das zwar eventuell während der (restlichen) Zeit der Verbüssung, verschiebt aber im Übrigen das Problem denkbarer Delinquenz lediglich auf einen späteren Zeitpunkt und schneidet zudem unter dem spezialpräventiven Aspekt späterer Legalbewährung am schlechtesten ab (BGE 124 IV 193 E. 4d/aa). Anschliessend an solche Überlegungen ist folgende Frage zu prüfen: Sollte die bedingte Entlassung in spezialpräventiver Hinsicht den Vorteil einer möglichen dauerhaften Problemlösung oder ‑entschärfung bieten, deren man sich bei der Voll­stre­ckung begibt, so verdient die bedingte Entlassung gegenüber ihrer das Problem nur zeitlich verschiebenden Verweigerung stets dort den Vortritt, wo die Wahrnehmung dieses Vorteils als sinnvoll erscheint. Wenn die fortgesetzte Vollstreckung die Unfähigkeit des Täters zu einem normkonformen Leben in Freiheit nur noch zu verstärken droht, offeriert die be­ding­te Entlassung in ihrer Verbindung mit sachgerechten Weisungen und Schutzauf­sicht die Chance, durch eine rechtzeitige, schrittweise Anpassung an das Leben in Freiheit derartige Schäden zu vermeiden. Obendrein bringt die bedingte Entlassung zwei andere allgemeine Vorteile. Wegen der Widerrufsalternative wird der bedingt Entlassene zum ei­nen eher Be­reit­schaft zeigen, die ihm erteilten Weisungen einzuhalten und sich damit normkonform zu verhalten, als er es nach gänzlich verbüsster Strafe täte. Zum an­dern kann, sollten sich im Rahmen der bedingten Entlassung Probleme des Verurteilten im Um­gang mit der Freiheit zeigen, eine Krisenintervention durch Rückversetzung und ge­zielte sozialtherapeutische An­ge­bote zur Behebung oder Entschärfung dieser Probleme Platz greifen (BGE 124 IV 193 E. 4d/bb).</w:t>
      </w:r>
    </w:p>
    <w:p>
      <w:r>
        <w:rPr>
          <w:b/>
        </w:rPr>
        <w:t>E. 5</w:t>
      </w:r>
    </w:p>
    <w:p>
      <w:r>
        <w:t>Auf der Grundlage dieser von der Rechtsprechung entwickelten Regeln lässt sich der angefochtene Entscheid nicht beanstanden und kann vorab grundsätzlich zustimmend auf seine Erwägungen verwiesen werden (§ 70 in Verbindung mit § 28 Abs. 1 Satz 2 VRG). a) Das Gutachten G. vom 27. November 1997 kommt in Übereinstimmung mit ei­nem früheren Gutachten vom 15. Oktober 1991 zum Schluss, dass dem Beschwerdeführer keine eindeutig günstige Prognose gestellt werden könne. Es sei auch künftig möglich, dass der Beschwerdeführer in gegenwärtig nicht konkret vorhersehbarer Weise bei unge­wöhnlichen Belastungssituationen im partnerschaftlichen Beziehungsbereich aggressiv reagiere; eine solche aggressive Verhaltensbereitschaft werde durch das Zusammenwirken von Alkohol und anderen Rauschmitteln, deren Einfluss auch weiterhin möglich sei, be­günstigt. Inwieweit sich ungewöhnliche Belastungssituationen im partnerschaftlichen Be­reich erneut wie im Vorfeld  der früheren Delikte konstellieren könnten, sei gutachterlich nicht vorhersehbar und die Prognose damit ungewiss. Wenn der Gutachter auf Grund dieser Beurteilung zum Schluss kommt, die Gefahr weiterer Straftaten beziehe sich damit auf den Partnerschaftsbereich bzw. das engere so­ziale Umfeld und es könne auf Grund der vorhandenen Informationen nicht festgestellt werden, dass der Beschwerdeführer für andere gefährlich wäre, so ändert das nichts daran, dass gegen eine günstige Prognose erhebliche Vorbehalt bestehen; die öffentliche Sicher­heit ist auch dann gefährdet, wenn die befürchteten Delikte nicht beliebige Dritte sondern dem Beschwerdeführer nahestehende Personen gefährden. b) Mit den nach der Rückversetzung in die kantonale Strafanstalt Pöschwies erneut eingeleiteten Vollzugslockerungen haben die Strafvollzugsbehörden das spezialpräventive Interesse bis anhin hinreichend berücksichtigt. Trotz des durch den Vorfall vom 5. Januar 1996 verursachten Rückschlags befindet sich der Beschwerdeführer nun seit der am 24. De­zember 1999 erfolgten Unterbringung im Haus Lägern in der dritten Stufe des Strafvoll­zugs, und ist es, wie die Vorinstanz zutreffend erwogen hat, jedenfalls nicht ausgeschlos­sen, dass der Beschwerdeführer noch vor Strafende bedingt entlassen werden kann; damit bleibt die Möglichkeit erhalten, mit entsprechenden Weisungen und nötigenfalls mit ge­ziel­ten sozialtherapeutischen An­ge­boten allfälligen Problemen des Beschwerdeführers beim Umgang mit der Freiheit Rechnung zu tragen. Entgegen der Darstellung in der Be­schwerdeschrift geht die Vorinstanz nicht davon aus, eine bedingte Entlas­sung verlange zwingend das Durchlaufen aller vorangehenden Vollzugsstufen. Sie hält viel­mehr zu­tref­fend fest, dass das Durchlaufen aller vier Stufen die Regel bilde, von der in besonderen Fällen abgewichen werden könne; von einer falschen Auslegung von Art. 38 StGB kann kei­ne Rede sein. Besondere Gründe, welche beim Beschwerdeführer aus­nahms­weise den Ver­zicht auf die dritte Vollzugsetappe gebieten würden, hat die Vorin­stanz mit überzeugenden Erwägungen verneint (vgl. E. 5 der angefochtenen Verfügung). c) Der vom Beschwerdeführer befürchteten Destabilisierung seiner Persönlichkeit wurde bereits mit der Verlegung ins Haus Lägern und der Möglichkeit regelmässiger Spa­ziergänge mit seiner Partnerin begegnet. Der geringen Wahrscheinlichkeit, dass in der noch verbleibenden Zeit im gegenwärtigen Vollzugsregime zusätzliche Schädigungen eintreten, steht der Vorteil eines allmählichen Übergangs zum Leben in Freiheit gegenüber. d) Mit dem Vorfall vom 5. Januar 1996, welcher zur Rückversetzung des Be­schwer­deführers in die Kantonale Strafanstalt Pöschwies führte, hat sich das Verwaltungs­gericht bereits im Entscheid VB.97.00463 vom 24. Oktober 1997 befasst. Das Gericht hat keinen Anlass auf die damalige Würdigung zurückzukommen; der Auffassung der Vorin­stanz, der Beschwerdeführer habe die zeitliche Verzögerung der Halbfreiheit und damit der bedingten Entlassung sich selber zuzuschreiben, ist somit beizupflichten. e) Dem Beschwerdeführer ist beizupflichten, dass sich an den Persönlichkeits­merk­malen, die zu der ihm von der Vorinstanz in Übereinstimmung mit dem psychiatri­schen Gut­achten und deshalb keineswegs aktenwidrig zugeschriebe­nen Ge­fährlichkeit führen, auch im weiteren Strafvollzug nichts Grundsätzliches ändern wird (Gut­achten S. 38). Hingegen kann erwartet werden, dass sich durch sorgfältig durch­geführ­te Vollzugslocke­rungen die Gefahr vermindern lässt, dass sich "ungewöhnliche Be­las­tungs­situationen im partnerschaftlichen Bereich erneut in ähnlicher Weise wie im Vor­feld der früheren Delikte konstellieren" (Gutachten S. 35). Das vom Beschwerdeführer ange­führte Argument des Rückgangs der Neigung zu Gewalttaten mit fortschreitendem Alter spricht jedenfalls nicht gegen ein Hinausschieben der bedingten Entlassung. Das selbe gilt bezüglich der Persön­lichkeitsstörungen, deren Aktualität laut Beschwerdeschrift mit zunehmendem Alter ab­neh­men soll. f) Der Einwand des Beschwerdeführers, es sei unzulässig, aus fortdauerndem Leug­nen der früheren Tat auf eine schlechte Prognose zu schliessen, stösst ins Leere. Die Vorin­stanz hat lediglich erwogen, wegen des hartnäckigen Bestreitens der Anlasstat sei eine de­liktsorientierte Therapiearbeit ausser Betracht gefallen und mangels Einsicht hätten päd­agogische und verhaltenstherapeutische Massnahmen nur beschränkt realisiert werden kön­nen, was zur Verzögerung der Vollzugslockerungen geführt habe; einen Zusammen­hang zur Prognose hat die Vorinstanz nicht hergestellt. g) Der Beschwerdeführer verweist auf die mittlerweilen zahlreichen anstandslos verbrachten unbegleiteten Urlaube sowie den soweit auf Grund der Akten ersichtlich bisher erfolgreich verlaufenen Aufenthalt im Haus Lägern und wirft die Frage auf, welche Ver­bes­serungsziele mit einem weiteren Vollzug überhaupt noch erreicht werden könnten. Damit übersieht der Beschwerdeführer, dass das dauernde Leben ausserhalb der Anstalt insbesondere auch in dem für den Beschwerdeführer erfahrungsgemäss problembe­hafteten Beziehungsbereich andere und höhere Anforderungen stellt, als er sie im Rahmen 28-stündiger Urlaube zu bestehen hatte. Wie die Vorinstanz zu Recht ausführt, wird ihm der weitere Vollzug im Rahmen der Halbfreiheit Gelegenheit geben, sich mit diesen zu­sätzlichen Anforderungen vertraut zu machen und ihre Bewältigung beispielsweise durch die rechtzeitige Regelung seiner künftigen Erwerbstätigkeit zu erleichtern. Sodann haben Vollzugserleichterungen angesichts der Schwierigkeit der Prognosti­zierung künftigen Wohlverhaltens (vgl. BGE 125 IV 133 E. 2a, 124 IV 193 E. 4a, je mit Hinweisen) auch die Funktion, die einer günstigen Prognose entgegenstehenden Vorbe­hal­te so weit als möglich zu widerlegen, was naturgemäss eine bestimmte minimale Dauer der durch die Halbfreiheit ermöglichten Verhaltensbeobachtung erfordert. Auf der anderen Sei­te gelten nach den Richtlinien des Ostschweizerischen Strafvollzugskommission über die Ge­währung der Halbfreiheit und anderer besonderer Vollzugsformen vom 13. Novem­ber 1992 für die Dauer der Halbfreiheit als Regel bestimmte Obergrenzen. So soll gemäss Ziff. 4 der Richtlinien bei einer Bruttostrafe von über 120 Monaten die Dauer der Halbfrei­heit in der Regel zwölf Monate nicht übersteigen. Damit lässt sich bei guter Führung der Zeitpunkt der bedingten Entlassung absehen und greift auch das Argument nicht, dem Be­schwerdeführer sei wegen der Ungewissheit des Entlassungszeitpunkts die Stellensuche verbaut. h) Dem Beschwerdeführer ist beizupflichten, dass der Entwöhnung von benzodia­zepinhaltigen Medikamenten und einer dauernden Abstinenz für eine günstige Prognose erhebliche Bedeutung zukommen. Es ist aber vertretbar, wenn die Vorinstanzen diesem Um­stand erst dann ausschlaggebende Bedeutung zumessen wollen, wenn das dem Be­schwerdeführer mit Verfügung vom 8. Dezember 1999 auferlegte Abstinenzgebot während einer längeren Zeit eingehalten worden ist. i) Wenn der Beschwerdeführer geltend macht, er habe sich geändert, so ist dem die Feststellung des Gutachtens entgegenzuhalten, dass eine positiv zu bewertende Entwick­lung, die über ein Anerkenntnis faktischer Täterschaft hinaus Gefühle persönlicher Ver­ant­wortlichkeit und Schuld entstehen lasse und auf diesem Hintergrund zu einem verbes­serten Verständnis der Tatbegehung führe, nicht eingetreten sei. Es wird einzig eingeräumt, dass sich möglicherweise die persönlichkeitsbedingte Neigung des Beschwerdeführers, auf aus­sergewöhnliche Belastungen partnerschaftlicher Beziehungen impulshaft-aggressiv zu re­agieren, zwischenzeitlich nur noch in geminderter Form vorhanden sein könnte; auch diese Feststellung wird aber relativiert für den Fall, dass sich der Vor­fall vom 5. Januar 1996 so abgespielt hat, wie es das Verwaltungsgericht im Entscheid VB.97.00463 vom 24. Oktober 1997 als erwiesen erachtet hat. Jedenfalls ist mit dem "rei­bungslosen Verlauf der Schei­dung" von seiner bisherigen Ehefrau, die im Oktober 1998, das heisst während des Straf­vollzugs, statt fand, ein "Tatbeweis" dafür, dass der Beschwer­deführer zur Lösung von Problemen im Partnerschaftsbereich nicht auf alte Verhaltens­mus­ter zurückgreift nicht er­bracht. Die Gefahr neuer Straftaten ist nicht bloss hypothetisch; vielmehr bestehen auf­grund des Gutachtens und des Vorfalls vom 5. Januar 1996 immer noch ernstzunehmende Anhaltspunkte dafür, dass der Beschwerdeführer bei ungewöhnli­chen Belastungssi­tua­tio­nen im partnerschaftlichen Beziehungsbereich wiederum aggressiv reagieren könnte. Dass seine neue Partnerin, E. F., diese Befürchtungen nicht teilt, ändert daran nichts.</w:t>
      </w:r>
    </w:p>
    <w:p>
      <w:r>
        <w:rPr>
          <w:b/>
        </w:rPr>
        <w:t>E. 6</w:t>
      </w:r>
    </w:p>
    <w:p>
      <w:r>
        <w:t>Der eingehend begründete Entscheid der Vollzugsbehörden, dem Beschwerde­führer die bedingte Entlassung (noch) nicht zu gewähren, beruht somit auf einem zutref­fenden Verständnis des Instituts der bedingten Entlassung, berücksichtigt alle massgebli­chen Umstände, zieht daraus die richtigen Schlüsse und kommt zu einem insgesamt ver­tretbaren Ergebnis. Die Beschwerde erweist sich damit als unbegründet und ist abzuweisen.</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