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VB.2000.00066 vom 11. Mai 2000</w:t>
      </w:r>
    </w:p>
    <w:p>
      <w:r>
        <w:t>ZH Verwaltungsgericht, 2000-05-11, DE</w:t>
      </w:r>
    </w:p>
    <w:p>
      <w:r>
        <w:rPr>
          <w:b/>
        </w:rPr>
        <w:t xml:space="preserve">Quelle: </w:t>
      </w:r>
      <w:r>
        <w:t>https://mcp.opencaselaw.ch/entscheid/zh_verwaltungsgericht__VB.2000.00066</w:t>
      </w:r>
    </w:p>
    <w:p>
      <w:r>
        <w:t>FR: ZH_VERWALTUNGSGERICHT VB.2000.00066 du 11 mai 2000</w:t>
      </w:r>
    </w:p>
    <w:p>
      <w:r>
        <w:t>IT: ZH_VERWALTUNGSGERICHT VB.2000.00066 del 11 maggio 2000</w:t>
      </w:r>
    </w:p>
    <w:p>
      <w:pPr>
        <w:pStyle w:val="Heading2"/>
      </w:pPr>
      <w:r>
        <w:t>Regeste</w:t>
      </w:r>
    </w:p>
    <w:p>
      <w:r>
        <w:t>Bewilligung zur Verteilung von Unterlagen | Verteilung von Patienteninformationen in der Psychiatrischen Universitätsklinik Die Rekursschrift enthielt einen Antrag und eine genügende Begründung. Die Gesundheitsdirektion ist somit zu Unrecht nicht auf den Rekurs eingetreten (E. 2). Das Verwaltungsgericht entscheidet vorliegend in der Sache selbst. Auf die Beschwerde ist aber nicht einzutreten, soweit der Beschwerdeführer mehr verlangt als die Verteilung des strittigen Briefs mit Beilagen, datums- und personalienmässig aktualisiert (E. 3). Gesetzliche Grundlage der fraglichen Grundrechtseinschränkung ist § 4 Abs. 1 lit. b AHO. Die Kriterien für den Bewilligungsentscheid sind der Verfassung und der EMRK zu entnehmen (E. 4b). Der Beschwerdeführer kann sich auf die Meinungsäusserungsfreiheit berufen. Da Brief und Unterlagen unter dem Gesichtspunkt des Schutzes der Patienten nicht mehr zu beanstanden sind, hat die Vorinstanz das Gesuch zu Unrecht abgewiesen (E. 4c). Dem Begehren des Beschwerdeführers steht auch der Grundsatz nicht entgegen, dass die Freiheitsrechte in der Regel keinen Anspruch auf staatliche Leistungen umfassen (E. 4d). Das Verwaltungsgericht hat nicht anzuordnen, wie die durch den Staat zu tragenden Kosten intern zu verbuchen sind (E. 6).</w:t>
      </w:r>
    </w:p>
    <w:p>
      <w:pPr>
        <w:pStyle w:val="Heading2"/>
      </w:pPr>
      <w:r>
        <w:t>Erwägungen</w:t>
      </w:r>
    </w:p>
    <w:p>
      <w:r>
        <w:rPr>
          <w:b/>
        </w:rPr>
        <w:t>E. 3</w:t>
      </w:r>
    </w:p>
    <w:p>
      <w:r>
        <w:t>Hebt das Verwaltungsgericht den angefochenen Entscheid auf, so entscheidet es in der Regel selbst (§ 63 Abs. 1 VRG). Es kann die Angelegenheit aber auch zu neuer Ent­scheidung an die Vorinstanz zurückweisen, insbesondere wenn mit der angefochtenen An­ordnung nicht auf die Sache eingetreten oder der Tatbestand ungenügend festgestellt wurde (§ 64 Abs. 1 VRG). Obwohl im aufzuhebenden Entscheid noch keine materielle Beurtei­lung vorgenommen wurde, rechtfertigt es sich, von einer Rückweisung der Sache an die Gesundheitsdirektion abzusehen, zumal die materielle Beurteilung weder mit Ermessens­ausübung verbunden ist noch weitere Sachverhaltsabklärungen voraussetzt (vgl. Kölz/ Boss­hart/Röhl, § 63 N. 11; § 64 N. 3 und 5). Der Hauptantrag des Beschwerdeführers zielt denn auch auf eine materielle Über­prüfung der undatierten Verfügung der PUK ab. Mit dem Hauptantrag kann sich das Ver­waltungsgericht allerdings nur insoweit befassen, als dadurch der Streitgegenstand des Re­kursverfahrens nicht verändert wird (Kölz/Bosshart/Röhl, § 54 N. 4): Der Beschwerdeführer begründet den Inhalt seines Hauptantrags so, dass PUK und GD ihm künftig das Recht einräumen müssten, Post der hier kontroversen Art den Patien­tinnen und Patienten ungehindert zuzusenden, bzw. die nachgesuchte Verteilung dieser Post vorzunehmen hätten. Er wolle einen dem Brief vom 11. November 1998 analogen ak­tuellen Brief an die Insassinnen und Insassen der Klinik unterbreiten, der dann zusam­men mit den analogen Beilagen wie damals abzugeben sein werde. Bis und mit Re­kurs ging es indessen um einen konkreten Brief mit konkreten Beilagen. Gegen de­ren Aktualisierung gibt es, da der Beschwerdeführer für die inzwischen abgelaufene Zeit nichts vermag, kei­nen Einwand, soweit das bloss auf das Datum des Briefs sowie allfällige An­pas­sungen von Personalien auch in den Beilagen zielen will. Aber bereits etwa eine Än­de­rung des Ver­eins­zwecks oder der Umschreibung, wie X. Hilfe leiste, könnte die ur­sprünglich anstands­losen Formulierungen dahin verändern, dass der vom Beschwerde­füh­rer geltend gemachte Anspruch, entsprechende Sendungen verteilen zu dürfen, materiell an­ders zu beurteilen wäre. Auf die Beschwerde ist daher nicht einzutreten, sofern sie mehr anstrebt als die datums‑ und personalienmässige Aktualisierung des Briefs vom 11. No­vem­ber 1998 und dessen Bei­lagen.</w:t>
      </w:r>
    </w:p>
    <w:p>
      <w:r>
        <w:rPr>
          <w:b/>
        </w:rPr>
        <w:t>E. 4</w:t>
      </w:r>
    </w:p>
    <w:p>
      <w:r>
        <w:t>Der Beschwerdeführer erachtet seine Ansprüche auf Achtung des Briefverkehrs gemäss Art. 13 der Bundesverfassung vom 18. April 1999 (BV; SR 101) und Art. 8 EMRK sowie der freien Meinungsäusserung gemäss Art. 16 BV und Art. 10 EMRK als verletzt. a) Im Urteil vom 22. Februar 1995 hielt das Bundesgericht fest, die beiden genann­ten Ansprüche gehörten dem (damals noch ungeschriebenen) Verfassungsrecht des Bundes an, und Art. 8 sowie 10 EMRK räumten keinen weiter gehenden Schutz ein als die Verfas­sung (E. 2b Abs. 1; vgl. ‑ auch zum Folgenden ‑ Jörg Müller, Grundrechte in der Schweiz, 3. A., Bern 1999, S. 131 ff. und 181 ff.; Mark E. Villiger, Handbuch der Europäischen Men­schenrechtskonvention, 2. A., Zürich 1999, Rz. 541 ff., 554, 588 ff. und 603 ff.; Ar­thur Haefliger/Frank Schürmann, Die Europäische Menschenrechtskonvention und die Schweiz, 2. A., Bern 1999, S. 41 ff., 270 ff. und 284 ff.; BGE 125 I 417 E. 3 ff.). Laut Art. 13 Abs. 1 BV und Art. 8 Abs. 1 EMRK hat jede Person Anspruch auf Achtung ihrer Korrespondenz. Sodann gewährleistet Art. 16 BV die Meinungs‑ und Informationsfreiheit, so dass jede Person das Recht hat, ihre Meinung ungehindert zu äussern und ‑ wie auch In­formationen ‑ zu verbreiten; nach Art. 10 Abs. 1 EMRK hat jede Person Anspruch auf freie Meinungsäusserung, was die Freiheit zur Mitteilung von Nachrichten oder Ideen ohne Ein­griffe der Behörden einschliesst. Endlich verlangt Art. 36 BV für die Einschränkung von Grundrechten eine gesetzliche Grundlage und bei schwer wiegenden Einschränkungen ein Gesetz im formellen Sinn, ausser es handle sich um eine ernste, unmittelbare und nicht an­ders abwendbare Gefahr (Abs. 1); die Einschränkungen bedürfen der Rechtfertigung durch ein öffentliches Interesse oder durch den Schutz von Grundrechten Dritter und müssen ver­hältnismässig sein, wobei der Kerngehalt der Grundrechte unantastbar bleibt (Abs. 2‑4). Und Art. 8 Abs. 2 EMRK gestattet den Eingriff einer Behörde in die Brieffreiheit, soweit er gesetzlich vorgesehen ist und eine Massnahme darstellt, die in einer demokratischen Gesellschaft unter anderem zum Schutz der Gesundheit und der Moral als notwendig er­scheint; Gleiches gilt nach Art. 10 Abs. 2 EMRK für die Meinungsfreiheit. b) Die PUK ist ein kantonales Krankenhaus (vgl. § 1 lit. b der Verordnung über die kantonalen Krankenhäuser vom 28. Januar 1981, LS 813.11; § 7 Abs. 1 lit. c der Taxord­nung der kantonalen Krankenhäuser vom 1. April 1992, LS 813.111), weshalb sie der All­gemeinen Hausordnung für solche untersteht. § 4 Abs. 1 AHO unterstellt in den kantonalen Krankenhäusern verschiedene Tätigkeiten einer Bewilligungspflicht, beispielsweise den Ver­kauf von Waren und andere gewerbliche Aktivitäten (lit. a), politische Veranstaltungen und Propaganda (lit. c) und Veranstaltungen von Vereinigungen (lit. d). Der Bewilligungs­pflicht unterstehen nach lit. b insbesondere auch Werbungen, Sammlungen und Rundfra­gen für politische, gewerbliche und ideelle Zwecke, z.B. durch Flugblätter und Anschläge. Der Beschwerdeführer macht geltend, § 4 Abs. 1 lit. b AHO biete keine gesetzliche Handhabe, die Bewilligung zur Verteilung des streitbetroffenen Briefs samt Beilagen zu versagen, weil es sich nicht um (gewerbliche oder ideelle) Werbung handle. ‑ Die Be­schwerdegegnerin hat in ihrer Verfügung von Werbung für die anwaltschaft­liche Tätigkeit von X.-Mitgliedern gesprochen. Dem vermag der Beschwerdeführer nicht mit dem ergänz­ten Eigenbildnis zu begegnen, wonach Vereinsorgane keine Mandate anträten. Denn das schliesst, wie in der vorinstanzlichen Vernehmlassung zutreffend betont wird, nicht aus, dass blosse Mitglieder ohne Organfunktion für die anzugehenden Patientinnen und Pa­tien­ten der PUK advozierten. Im Übrigen schweigt sich der Beschwerdeführer darüber aus, wie er die Erwartung erfüllen will, insbesondere bei den zuständigen Verwaltungs‑ und Ge­richts­instanzen die Entlassung seiner KlientInnen zu verlangen, ohne dass irgend­welche Ver­einsorgane aktiv würden. Namentlich jedoch wirbt der ‑ wenngleich nur idealistische ‑ Beschwerdeführer mit dem hier interessierenden Brief samt Beilagen abwei­chend von sei­ner Beteuerung auch für sich selbst, indem er sich vorstellt und seine Hilfe anbietet. Die Vor­instanzen sind demnach zutreffend davon ausgegangen, dass das Vorha­ben des Be­schwer­deführers unter die Bewilligungspflicht gemäss § 4 Abs. 1 lit. b AHO fällt. § 4 AHO enthält ein Werbeverbot mit Bewilligungsvorbehalt. Da in Sonderstatus­verhältnissen ‑ wie der Aufenthalt in einer psychiatrischen Anstalt eines darstellt ‑ nur die wichtigsten Einschränkungen von Freiheitsrechten einer Grundlage im formellen Gesetz bedürfen (Ulrich Häfelin/Georg Müller, Grundriss des allgemeinen Verwaltungsrechts, 3. A., Zürich 1998, Rz. 390 ff.), stellt die Verordnung eine genügende Basis für die Bewil­ligungspflicht dar. Allerdings enthält § 4 AHO selbst keine Kriterien für den Entscheid über die Erteilung oder Verweigerung der Bewilligung. Dies bedeutet aber nicht, dass sie ohne Angabe von Gründen verweigert werden könnte. Mangels einer gesetzlichen Normie­rung sind die massgebenden Gesichtspunkte der Verfassung und der EMRK zu entnehmen. Von erheblicher Bedeutung sind namentlich die in Art. 8 und 10 EMRK genannten öffent­lichen Interessen, die eine Einschränkung des Rechts auf Achtung der Korrespondenz bzw. der Meinungsäusserungsfreiheit zu rechtfertigen vermögen. c) Das Bundesgericht erwog im Urteil vom 22. Februar 1995, auf die Meinungs­äus­serungsfreiheit dürfe sich berufen, wer ideelle so gut wie wirtschaftliche Interessen ver­fol­ge, so dass Werbung selbst für Rechtsanwälte den Schutz von Art. 10 EMRK geniessen kön­ne. Der Anspruch auf Achtung des Briefverkehrs und auf freie Meinungsäusserung nach Art. 8 und 10 EMRK stehe auch (natürlichen wie juristischen) Personen zu, welche in psychiatrischen Kliniken Festgehaltenen schreiben wollten. Jene müssten deshalb für diese bestimm­te Briefe weitergeben, unter Vorbehalt zulässiger Einschränkungen (E. 2b Abs. 2; Villiger, Rz. 588 f., 591 und 613 f.; Haefliger/Schürmann, S. 271 f. und 285 f.). ‑ Keinen grundsätzlichen Unterschied macht es dabei, ob kommerzielle Verlautbarungen gemäss der Bundesverfassung in den Anwendungsbereich der Meinungsäusserungsfreiheit (Art. 16 BV) oder den der Wirtschaftsfreiheit im Sinn von Art. 27 BV (früher Handels‑ und Gewer­befreiheit, Art. 31 aBV) fallen (Müller, S. 135, 185 und 203 ff.). Ebenso wenig schadet es dem Beschwerdeführer, dass er seine Post nicht individuell adressiert, denn das vereinfacht der Beschwerdegegnerin, die aus Geheim­nisgründen ja zwar die Anzahl, nicht aber die Na­men der Patientinnen und Patienten bekannt geben darf, bloss die Verteilung; und die Her­stellung der nötigen Exemplare übernimmt richtiger Weise der Beschwerdeführer (vgl. auch nachfolgend E. 4d). Die Menschenrechtskommission gelangte in ihrem Bericht vom 2. Dezember 1997 in Ziff. 44 im Wesentlichen zum selben Schluss wie das Bundesgericht. In ihrer Vernehmlassung macht die Gesundheitsdirektion erstmals geltend, das der Beschwerdegegnerin zur Verteilung übergebene Rundschreiben des Beschwerdeführers sei ‑ wie das früher der Menschenrechtskommission vorgelegte ‑ geeignet, bei den Patientin­nen und Patienten unrealistische Hoffnungen auf eine frühzeitige Entlassung wach zu ru­fen. Der Hinweis auf Art. 5 Abs. 4 EMRK könne den Eindruck erwecken, den Klinikinsas­sinnen und ‑insassen sei die Freiheit unrechtmässig entzogen worden. Die weite Streuung könnte Unsicherheit und Unruhe stiften und das wiederum die psychiatrische Unterbrin­gung in Frage stellen, das Anschlagen der oft komplexen Therapie beeinträchtigen sowie allenfalls die Verfahren verlängern. Die Bewilligungsverweigerung hinsichtlich Weiterlei­tung der strittigen Dokumente erscheine daher als geeignet, erforderlich und angemessen, um die betrieblichen Voraussetzungen für eine wirksame Behandlung aller Patienten und Patientinnen zu gewährleisten und diese vor denkbaren Gesundheitsschäden zu schützen. Der Beschwerdeführer hat sich vorwegnehmend und zu Recht gegen eine solche Argu­men­tation gewehrt: Die Vorinstanz verkennt, dass der die Beschwerdegegnerin betreffende gegenwär­tige Fall entscheidend vom früheren der Klinik Rheinau abweicht. Damals wollte der Be­schwerdeführer vor allem zusätzlich eine Broschüre mit dem Titel "X. gegen Zwangs­psychiatrie" verteilen lassen, die neben Kritik an der Psychiatrie aus medizinischer und rechtlicher Sicht insbesondere im dritten Abschnitt die angeblich katastrophale Situa­tion in den psychiatrischen Anstalten geisselte und behauptete, darin würden die Patienten wider­rechtlich festgehalten und gefoltert (vgl. auch I. A. unten). Die Vernehmlassung zur Be­schwerde greift auf, was die Menschenrechtskommission in Ziff. 45 ihres Berichts zur Bro­schüre ‑ und nur hierzu ‑ gesagt hat. Ohne diese Beilage hätte der Beschwerdeführer sei­ner­zeit obsiegt, und zwar zu Recht. Denn im Übrigen be­schränk­te er sich damals ‑ wie jetzt ausschliesslich ‑ darauf, die Klinikinsassinnen und ‑in­sassen auf den Anspruch aufmerk­sam zu machen, den Freiheitsentzug einer gerichtli­chen Prüfung zu unterwerfen, wie es schon kraft Art. 397e Ziff. 2 ZGB geschehen muss, und dies­bezüglich Hilfe anzubieten. Eine Entlassung wird nicht in Aussicht, sondern dem Ent­scheid der Justiz anheim gestellt. Wenn der Beschwerdeführer immerhin erklärt, gegen Miss­bräuche in der Zwangs­psychiat­rie zu kämpfen, so beinhaltet das nicht die Behauptung, die Adressatinnen und Adressaten des Briefs seien solchen Missbräuchen ausgesetzt. Viel­mehr hat sich vor Gericht zu erge­ben, ob eine unrechtmässige Zurückbehaltung in der Kli­nik und damit eine missbräuch­li­che Zwangspsychiatrisierung vorliegt. d) Es fragt sich, ob dem Begehren des Beschwerdeführers nicht der Grundsatz ent­gegensteht, dass die Freiheitsrechte keinen Anspruch auf staatliche Leistungen gewähren. Dieser Grundsatz gilt indessen nicht ausnahmslos (Ulrich Häfelin/Walter Haller, Schweize­risches Bundesstaatsrecht, 4. A., Zürich 1998, Rz. 1090 ff.; Jörg Paul Müller, Elemente ei­ner schweizerischen Grundrechtstheorie, Bern 1982, S. 59 ff.). Im vorliegenden Fall bietet gerade die Tatsache, dass die persönliche Freiheit der Patienten intensiven Beschränkungen unterworfen ist, Anlass, davon abzuweichen: Die Mitwirkung der Klinik ist eine Voraus­setzung dafür, mit den Patienten in Kontakt zu treten und damit die betroffenen Freiheits­rechte auszuüben.</w:t>
      </w:r>
    </w:p>
    <w:p>
      <w:r>
        <w:rPr>
          <w:b/>
        </w:rPr>
        <w:t>E. 5</w:t>
      </w:r>
    </w:p>
    <w:p>
      <w:r>
        <w:t>Demnach ist die Beschwerde, soweit darauf einzutreten ist (vgl. vorn E. 3), gut­zuheissen. Die undatierte Verfügung der Beschwerdegegnerin sowie jene der Gesundheits­direktion vom 21. Januar 2000 sind aufzuheben. Die Beschwerdegegnerin ist zu verpflich­ten, den im Sinn der Erwägungen aktualisierten Brief des Beschwerdeführers vom 11. No­vember 1998 in der ergänzten Fassung vom 1. März 1999 nebst Bei­lagen an sämtliche Pa­tientinnen und Patienten zu verteilen, deren Anzahl sie vorgängig dem Beschwerdeführer bekannt geben muss zwecks Lieferung der erforderlichen Anzahl Exemplare. ...</w:t>
      </w:r>
    </w:p>
    <w:p>
      <w:r>
        <w:rPr>
          <w:b/>
        </w:rPr>
        <w:t>E. 6</w:t>
      </w:r>
    </w:p>
    <w:p>
      <w:r>
        <w:t>Der Beschwerdeführer regt aus aufsichtsrechtlichen Gründen an, den Entscheid des Verwaltungsgerichts dem Regierungsrat zuzustellen sowie für Kosten und Entschädi­gung des Beschwerdeverfahrens anzuordnen, dass diese aus dem Budgetposten der gesund­heitsdirektorialen Personalkosten beglichen werden müssten. Dem ersten Anliegen entspricht bereits die Mitteilungspflicht laut § 65 Abs. 1 VRG. Was die Zahlungen von Kosten und Entschädigung anlangt, so sind diese dem Staat aufzuerlegen, ohne dass das Gericht vorschreiben könnte, wie das intern zu verbuchen sei (vgl. Kölz/Bosshart/Röhl, § 13 N. 27). Im Übrigen bemerkt die Gesundheitsdirektion in ihrer Vernehmlassung zutreffend, der Beschwerdeführer könne sich auch jederzeit selbst an den Regierungsrat wenden. Demgemäss entscheidet das Verwaltungsgericht: 1.    Die Beschwerde wird, soweit darauf eingetreten wird, gutgeheissen. Die undatierte Ver­fügung der Beschwerdegegnerin und jene der Gesundheitsdirektion vom 21. Januar 2000 werden aufgehoben. Die Beschwerdegegnerin wird eingeladen, dem Gesuch des Beschwerdeführers im Sinn der Erwägungen zu entsprechen.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