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VB.2000.00063 vom 26. April 2000</w:t>
      </w:r>
    </w:p>
    <w:p>
      <w:r>
        <w:t>ZH Verwaltungsgericht, 2000-04-26, DE</w:t>
      </w:r>
    </w:p>
    <w:p>
      <w:r>
        <w:rPr>
          <w:b/>
        </w:rPr>
        <w:t xml:space="preserve">Quelle: </w:t>
      </w:r>
      <w:r>
        <w:t>https://mcp.opencaselaw.ch/entscheid/zh_verwaltungsgericht__VB.2000.00063</w:t>
      </w:r>
    </w:p>
    <w:p>
      <w:r>
        <w:t>FR: ZH_VERWALTUNGSGERICHT VB.2000.00063 du 26 avril 2000</w:t>
      </w:r>
    </w:p>
    <w:p>
      <w:r>
        <w:t>IT: ZH_VERWALTUNGSGERICHT VB.2000.00063 del 26 aprile 2000</w:t>
      </w:r>
    </w:p>
    <w:p>
      <w:pPr>
        <w:pStyle w:val="Heading2"/>
      </w:pPr>
      <w:r>
        <w:t>Regeste</w:t>
      </w:r>
    </w:p>
    <w:p>
      <w:r>
        <w:t>Massnahmenvollzug | Einstellung der stationären Massnahme bei einem Rauschgiftsüchtigen; unentgeltlicher Rechtsbeistand: Die Einstellung durch die Vollzugsbehörde erweist sich als nicht rechtsverletzend, wenn der Beschwerdeführer dreimal innert kurzer Frist eine Therapie abgebrochen und damit die ihn treffenden Mitwirkungspflichten bei der Durchführung der Massnahme nicht beachtet hat (E. 2). Die Festsetzung der Entschädigung des unentgeltlichen Rechtsvertreters im Rekursverfahren gilt als Akt der Justizverwaltung, gegen welchen der ordentliche Rechtsweg nicht offen steht (E. 3).</w:t>
      </w:r>
    </w:p>
    <w:p>
      <w:pPr>
        <w:pStyle w:val="Heading2"/>
      </w:pPr>
      <w:r>
        <w:t>Erwägungen</w:t>
      </w:r>
    </w:p>
    <w:p>
      <w:r>
        <w:rPr>
          <w:b/>
        </w:rPr>
        <w:t>E. 4</w:t>
      </w:r>
    </w:p>
    <w:p>
      <w:r>
        <w:t>...</w:t>
      </w:r>
    </w:p>
    <w:p>
      <w:r>
        <w:rPr>
          <w:b/>
        </w:rPr>
        <w:t>E. 5</w:t>
      </w:r>
    </w:p>
    <w:p>
      <w:r>
        <w:t>Der Beschwerdeführer lässt beantragen, ihm auch für das Beschwerdeverfahren Rechtsanwalt C. D. als unentgeltlichen Rechtsvertreter beizugeben. a) Privaten kann gestützt auf § 16 Abs. 1 VRG die Bezahlung von Verfahrenskosten er­las­sen werden, wenn ihnen die nötigen Mittel fehlen und ihr Begehren nicht offensicht­lich aus­sichts­los erscheint. Als aussichtslos sind Begehren anzusehen, bei denen die Aus­sich­ten auf Gutheissung um derart viel kleiner als jene auf Abweisung erscheinen, dass sie kaum als ernst­haft bezeichnet werden können (Kölz/Bosshart/Röhl, § 16 N. 32). Darüber hinaus hat die Partei unter den gleichen Voraussetzungen Anspruch auf die Bestellung ei­nes unentgeltlichen Pro­zess­ver­tre­ters, sofern sie nicht in der Lage ist, ihre Rechte im Ver­fahren selbst zu wahren (§ 16 Abs. 2 VRG; RB 1994 Nr. 4; BGE 119 Ia 264 E. 3b; René Rhinow/Heinrich Kol­ler/Chri­sti­na Kiss, Öffentliches Pro­zessrecht und Justizver­fas­sungs­recht des Bundes, Basel und Frankfurt a.M. 1996, Rz. 1181; Kölz/Bosshart/Röhl, § 16 N. 39). b) Der Beschwerdeführer ist offenkundig mittellos und nicht rechtskundig. Zudem wirft die Streitsache nicht bloss einfache Fragen auf. Nachdem für den vorliegenden Fall wenig gerichtliche Präjudizien hinsichtlich der Rechtslage bestehen, kann die Beschwerde schliesslich nicht von vornherein als offensichtlich aussichtslos bezeichnet werden. Das Gesuch ist daher zu bewilligen. c) Dem unentgeltlichen Rechtsbeistand wird der notwendi­ge Zeitaufwand nach den Ansätzen des Obergerichts entschädigt. Reicht der Vertreter keine Zusammenstellung ein, so wird die Entschädigung von Amts wegen und nach Ermessen festgesetzt (vgl. § 13 der Gebührenverordnung des Verwaltungsgerichts vom 26. Juni 1997). Mit Bezug auf das Beschwerdeverfahren liegt keine Zusammenstellung vor. Die am 22. Februar 2000 nachgereichte Honorarrechnung bezieht sich, wie auch in der Be­schwer­de ausgeführt, auf das Rekursverfahren. Die Entschädigung für das Beschwerdever­fahren ist somit nach Ermessen auf Fr. 1'200.‑ (Mehrwertsteuer inbegriffen)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