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VB.2000.00047 vom 23. März 2000</w:t>
      </w:r>
    </w:p>
    <w:p>
      <w:r>
        <w:t>ZH Verwaltungsgericht, 2000-03-23, DE</w:t>
      </w:r>
    </w:p>
    <w:p>
      <w:r>
        <w:rPr>
          <w:b/>
        </w:rPr>
        <w:t xml:space="preserve">Quelle: </w:t>
      </w:r>
      <w:r>
        <w:t>https://mcp.opencaselaw.ch/entscheid/zh_verwaltungsgericht__VB.2000.00047</w:t>
      </w:r>
    </w:p>
    <w:p>
      <w:r>
        <w:t>FR: ZH_VERWALTUNGSGERICHT VB.2000.00047 du 23 mars 2000</w:t>
      </w:r>
    </w:p>
    <w:p>
      <w:r>
        <w:t>IT: ZH_VERWALTUNGSGERICHT VB.2000.00047 del 23 marzo 2000</w:t>
      </w:r>
    </w:p>
    <w:p>
      <w:pPr>
        <w:pStyle w:val="Heading2"/>
      </w:pPr>
      <w:r>
        <w:t>Regeste</w:t>
      </w:r>
    </w:p>
    <w:p>
      <w:r>
        <w:t>Bewilligung zur selbständigen Berufsausübung als Zahnarzt | Bewilligung zur selbständigen Berufsausübung für einen Zahnarzt mit ausländischem Diplom Es ist daran festzuhalten, dass die selbständige Ausübung des Zahnarztberufs eines eidgenössischen Diploms bedarf, da eine Überprüfung ausländischer Diplome auf ihre Gleichwertigkeit nicht praktikabel wäre (E. 2b,c). Dass der Beschwerdeführer möglicherweise nicht zur erleichterten eidgenössischen Medizinalprüfung zugelassen würde, führt nicht zu einem anderen Schluss (E. 2d). Ein Bewerber mit ausländischem, von einem anderen Kanton anerkannten Diplom ist auch nicht aufgrund von Art. 4 Abs. 1 BGBM zuzulassen (E. 3).</w:t>
      </w:r>
    </w:p>
    <w:p>
      <w:pPr>
        <w:pStyle w:val="Heading2"/>
      </w:pPr>
      <w:r>
        <w:t>Erwägungen</w:t>
      </w:r>
    </w:p>
    <w:p>
      <w:r>
        <w:rPr>
          <w:b/>
        </w:rPr>
        <w:t>E. 3</w:t>
      </w:r>
    </w:p>
    <w:p>
      <w:r>
        <w:t>a) Der Beschwerdeführer bringt eventualiter vor, er sei aufgrund von Art. 4 Abs. 1 BGBM zur selbständigen Berufsausübung im Kanton Zürich zuzulassen. Mit den "kantonal anerkannte[n] Fähigkeitsausweisen", die auf dem Gebiet der gesamten Schweiz gälten, könnten nur ausländische Diplome gemeint sein, da eidgenössische Diplome keiner Anerkennung durch die Kantone bedürften. b) Diese Auffassung trifft nicht zu. Der Wortlaut der Bestimmung ist in dieser Hin­sicht nicht klar und lässt neben der vom Beschwerdeführer bevorzugten auch andere Aus­legungen zu. Gemäss der Botschaft zum Binnenmarktgesetz bezieht sich der Begriff "kan­tonal anerkannte Fähigkeitsausweise" primär auf solche Diplome, die nicht aufgrund einer kantonalen Fähigkeitsprüfung durch eine Behörde ausgestellt wurden, also auf private Di­plome, die aber das kantonale öffentliche Recht anerkennt (BBl 1995 I 1256; vgl. BGE 125 I 267 E. 3e). Entgegen der Auffassung des Beschwerdeführers entspricht es durchaus dem Willen des Gesetzgebers, ausländische Fähigkeitsausweise nicht in den Geltungsbereich von Art. 4 BGBM einzubeziehen. Die Botschaft liefert diesbezüglich einen deutlichen Hin­weis (BBl 1995 I 1266). Die Auffassung von Wagner, auf die sich der Beschwerdefüh­rer beruft, ist nicht schlüssig, da sich der Autor nicht ausdrücklich auf im Ausland erwor­bene Diplome bezieht (Manfred Wagner, Das Bundesgesetz über den Binnenmarkt, in: Thomas Cottier/Remo Arpagaus [Hrsg.], Schweizerisches Bundesverwaltungsrecht, Schweizeri­sches Aussenwirtschafts‑ und Binnenmarktrecht, Basel/Genf/München 1999, Rz. 42). Im Übrigen erscheint die Argumentation des Beschwerdeführers nicht ganz wider­spruchsfrei, nennt er doch die vom Bundesgericht in BGE 125 I 267 E. 3e getroffene Aus­legung "histo­risch" (act. 2 S. 10) und geht damit offenbar auch davon aus, dass die Mate­rialien An­halts­punkte für einen entsprechenden Willen des Gesetzgebers enthalten. Gerade bei einem re­lativ jungen Erlass, wie es das Binnenmarktgesetz darstellt, sprechen aber gute Gründe für eine historische Auslegung (vgl. Karl Larenz/Claus-Wilhelm Canaris, Metho­denlehre der Rechtswissenschaft, 3. A., Berlin u.a. 1995, S. 137 ff., 149 ff.). Demgegen­über sind die für eine Erstreckung des Geltungsbereichs von Art. 4 BGBM auf ausländi­sche Fähigkeits­aus­weise sprechenden Argumente nicht derart zwingend, dass sich das Verwaltungsgericht über die vom Bundesgericht gewählte Auslegung hinwegsetzen könnte. Das Verwaltungs­gericht hat in früheren Entscheiden (RB 1998 Nr. 76; RB 1997 Nr. 120) eine gegenteilige Praxis verfolgt, ohne aber diese Rechtsfrage eingehender zu erörtern. Daran kann nicht mehr festgehalten werden.</w:t>
      </w:r>
    </w:p>
    <w:p>
      <w:r>
        <w:rPr>
          <w:b/>
        </w:rPr>
        <w:t>E. 4</w:t>
      </w:r>
    </w:p>
    <w:p>
      <w:r>
        <w:t>...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